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793D3" w14:textId="395D5DE9" w:rsidR="00340CB3" w:rsidRDefault="00340CB3" w:rsidP="0052509E">
      <w:pPr>
        <w:pStyle w:val="Heading1"/>
        <w:rPr>
          <w:rFonts w:ascii="Times New Roman" w:hAnsi="Times New Roman" w:cs="Times New Roman"/>
          <w:b/>
          <w:bCs/>
          <w:color w:val="auto"/>
          <w:sz w:val="28"/>
          <w:szCs w:val="28"/>
        </w:rPr>
      </w:pPr>
      <w:r>
        <w:rPr>
          <w:rFonts w:ascii="Times New Roman" w:hAnsi="Times New Roman" w:cs="Times New Roman"/>
          <w:b/>
          <w:bCs/>
          <w:color w:val="auto"/>
          <w:sz w:val="28"/>
          <w:szCs w:val="28"/>
        </w:rPr>
        <w:t>HBCU Grant</w:t>
      </w:r>
    </w:p>
    <w:p w14:paraId="441301D1" w14:textId="34C4A4EB" w:rsidR="0052509E" w:rsidRPr="00A23F47" w:rsidRDefault="0052509E" w:rsidP="0052509E">
      <w:pPr>
        <w:pStyle w:val="Heading1"/>
        <w:rPr>
          <w:rFonts w:ascii="Times New Roman" w:hAnsi="Times New Roman" w:cs="Times New Roman"/>
          <w:b/>
          <w:bCs/>
          <w:color w:val="auto"/>
          <w:sz w:val="28"/>
          <w:szCs w:val="28"/>
        </w:rPr>
      </w:pPr>
      <w:hyperlink r:id="rId5" w:history="1">
        <w:r w:rsidRPr="00A23F47">
          <w:rPr>
            <w:rStyle w:val="Hyperlink"/>
            <w:rFonts w:ascii="Times New Roman" w:hAnsi="Times New Roman" w:cs="Times New Roman"/>
            <w:b/>
            <w:bCs/>
            <w:color w:val="auto"/>
            <w:sz w:val="28"/>
            <w:szCs w:val="28"/>
          </w:rPr>
          <w:t xml:space="preserve">PART 608 - STRENGTHENING HISTORICALLY BLACK COLLEGES AND UNIVERSITIES PROGRAM </w:t>
        </w:r>
      </w:hyperlink>
    </w:p>
    <w:p w14:paraId="283994C1" w14:textId="77777777" w:rsidR="0052509E" w:rsidRPr="00A23F47" w:rsidRDefault="0052509E" w:rsidP="0052509E">
      <w:pPr>
        <w:rPr>
          <w:sz w:val="28"/>
          <w:szCs w:val="28"/>
        </w:rPr>
      </w:pPr>
      <w:r w:rsidRPr="00A23F47">
        <w:rPr>
          <w:rStyle w:val="inline-header"/>
          <w:b/>
          <w:bCs/>
          <w:sz w:val="28"/>
          <w:szCs w:val="28"/>
        </w:rPr>
        <w:t>Authority:</w:t>
      </w:r>
      <w:r w:rsidRPr="00A23F47">
        <w:rPr>
          <w:sz w:val="28"/>
          <w:szCs w:val="28"/>
        </w:rPr>
        <w:t xml:space="preserve"> </w:t>
      </w:r>
      <w:hyperlink r:id="rId6" w:tgtFrame="_blank" w:history="1">
        <w:r w:rsidRPr="00A23F47">
          <w:rPr>
            <w:rStyle w:val="Hyperlink"/>
            <w:color w:val="auto"/>
            <w:sz w:val="28"/>
            <w:szCs w:val="28"/>
          </w:rPr>
          <w:t>20 U.S.C. 1060</w:t>
        </w:r>
      </w:hyperlink>
      <w:r w:rsidRPr="00A23F47">
        <w:rPr>
          <w:rStyle w:val="inline-paragraph"/>
          <w:sz w:val="28"/>
          <w:szCs w:val="28"/>
        </w:rPr>
        <w:t xml:space="preserve"> through </w:t>
      </w:r>
      <w:hyperlink r:id="rId7" w:tgtFrame="_blank" w:history="1">
        <w:r w:rsidRPr="00A23F47">
          <w:rPr>
            <w:rStyle w:val="Hyperlink"/>
            <w:color w:val="auto"/>
            <w:sz w:val="28"/>
            <w:szCs w:val="28"/>
          </w:rPr>
          <w:t>1063c</w:t>
        </w:r>
      </w:hyperlink>
      <w:r w:rsidRPr="00A23F47">
        <w:rPr>
          <w:rStyle w:val="inline-paragraph"/>
          <w:sz w:val="28"/>
          <w:szCs w:val="28"/>
        </w:rPr>
        <w:t xml:space="preserve">, and </w:t>
      </w:r>
      <w:hyperlink r:id="rId8" w:tgtFrame="_blank" w:history="1">
        <w:r w:rsidRPr="00A23F47">
          <w:rPr>
            <w:rStyle w:val="Hyperlink"/>
            <w:color w:val="auto"/>
            <w:sz w:val="28"/>
            <w:szCs w:val="28"/>
          </w:rPr>
          <w:t>1068</w:t>
        </w:r>
      </w:hyperlink>
      <w:r w:rsidRPr="00A23F47">
        <w:rPr>
          <w:rStyle w:val="inline-paragraph"/>
          <w:sz w:val="28"/>
          <w:szCs w:val="28"/>
        </w:rPr>
        <w:t xml:space="preserve"> through </w:t>
      </w:r>
      <w:hyperlink r:id="rId9" w:tgtFrame="_blank" w:history="1">
        <w:r w:rsidRPr="00A23F47">
          <w:rPr>
            <w:rStyle w:val="Hyperlink"/>
            <w:color w:val="auto"/>
            <w:sz w:val="28"/>
            <w:szCs w:val="28"/>
          </w:rPr>
          <w:t>1068h</w:t>
        </w:r>
      </w:hyperlink>
      <w:r w:rsidRPr="00A23F47">
        <w:rPr>
          <w:rStyle w:val="inline-paragraph"/>
          <w:sz w:val="28"/>
          <w:szCs w:val="28"/>
        </w:rPr>
        <w:t>, unless otherwise noted.</w:t>
      </w:r>
    </w:p>
    <w:p w14:paraId="36DED5C1" w14:textId="77777777" w:rsidR="0052509E" w:rsidRPr="0052509E" w:rsidRDefault="00000000" w:rsidP="0052509E">
      <w:pPr>
        <w:spacing w:before="100" w:beforeAutospacing="1" w:after="100" w:afterAutospacing="1"/>
        <w:outlineLvl w:val="1"/>
        <w:rPr>
          <w:rFonts w:eastAsia="Times New Roman"/>
          <w:b/>
          <w:bCs/>
          <w:sz w:val="28"/>
          <w:szCs w:val="28"/>
        </w:rPr>
      </w:pPr>
      <w:hyperlink r:id="rId10" w:history="1">
        <w:r w:rsidR="0052509E" w:rsidRPr="0052509E">
          <w:rPr>
            <w:rFonts w:eastAsia="Times New Roman"/>
            <w:b/>
            <w:bCs/>
            <w:color w:val="0000FF"/>
            <w:sz w:val="28"/>
            <w:szCs w:val="28"/>
            <w:u w:val="single"/>
          </w:rPr>
          <w:t>§ 608.10 What activities may be carried out under a grant?</w:t>
        </w:r>
      </w:hyperlink>
    </w:p>
    <w:p w14:paraId="1DBB2CB9" w14:textId="28D1BA73" w:rsidR="0052509E" w:rsidRDefault="0052509E" w:rsidP="00291B01">
      <w:pPr>
        <w:pStyle w:val="ListParagraph"/>
        <w:numPr>
          <w:ilvl w:val="0"/>
          <w:numId w:val="7"/>
        </w:numPr>
        <w:ind w:left="0" w:firstLine="0"/>
        <w:rPr>
          <w:rFonts w:eastAsia="Times New Roman"/>
          <w:szCs w:val="24"/>
        </w:rPr>
      </w:pPr>
      <w:r w:rsidRPr="0052509E">
        <w:rPr>
          <w:rFonts w:eastAsia="Times New Roman"/>
          <w:b/>
          <w:bCs/>
          <w:i/>
          <w:iCs/>
          <w:szCs w:val="24"/>
        </w:rPr>
        <w:t>Allowable activities.</w:t>
      </w:r>
      <w:r w:rsidRPr="0052509E">
        <w:rPr>
          <w:rFonts w:eastAsia="Times New Roman"/>
          <w:szCs w:val="24"/>
        </w:rPr>
        <w:t xml:space="preserve"> Except as provided in </w:t>
      </w:r>
      <w:hyperlink r:id="rId11" w:anchor="p-608.10(b)" w:history="1">
        <w:r w:rsidRPr="0052509E">
          <w:rPr>
            <w:rFonts w:eastAsia="Times New Roman"/>
            <w:color w:val="0000FF"/>
            <w:szCs w:val="24"/>
            <w:u w:val="single"/>
          </w:rPr>
          <w:t>paragraph (b)</w:t>
        </w:r>
      </w:hyperlink>
      <w:r w:rsidRPr="0052509E">
        <w:rPr>
          <w:rFonts w:eastAsia="Times New Roman"/>
          <w:szCs w:val="24"/>
        </w:rPr>
        <w:t xml:space="preserve"> of this section, a grantee may carry out the following activities under this part </w:t>
      </w:r>
      <w:r>
        <w:rPr>
          <w:rFonts w:eastAsia="Times New Roman"/>
          <w:szCs w:val="24"/>
        </w:rPr>
        <w:t>–</w:t>
      </w:r>
      <w:r w:rsidRPr="0052509E">
        <w:rPr>
          <w:rFonts w:eastAsia="Times New Roman"/>
          <w:szCs w:val="24"/>
        </w:rPr>
        <w:t xml:space="preserve"> </w:t>
      </w:r>
    </w:p>
    <w:p w14:paraId="10EA902B" w14:textId="77777777" w:rsidR="00291B01" w:rsidRPr="00291B01" w:rsidRDefault="00291B01" w:rsidP="00291B01">
      <w:pPr>
        <w:rPr>
          <w:rFonts w:eastAsia="Times New Roman"/>
          <w:szCs w:val="24"/>
        </w:rPr>
      </w:pPr>
    </w:p>
    <w:p w14:paraId="30AF865B" w14:textId="62AE5A72"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Purchase, rental, or lease of scientific or laboratory equipment for educational purposes, including instructional or research purposes; </w:t>
      </w:r>
    </w:p>
    <w:p w14:paraId="58C22008" w14:textId="01FE170C"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Construction, maintenance, renovation, and improvement in classroom, library, laboratory, and other instructional facilities, including purchase or rental of telecommunications technology equipment or services; </w:t>
      </w:r>
    </w:p>
    <w:p w14:paraId="2A53BDFB" w14:textId="7CAF3AF0"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Support of faculty exchanges, faculty development and faculty fellowships to assist these faculty members in attaining advanced degrees in their fields of instruction; </w:t>
      </w:r>
    </w:p>
    <w:p w14:paraId="69AC0F50" w14:textId="665D8604"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Academic instruction in disciplines in which Black Americans are underrepresented; </w:t>
      </w:r>
    </w:p>
    <w:p w14:paraId="08D454B2" w14:textId="4F9668C7"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Purchase of library books, periodicals, microfilm, and other educational materials, including telecommunications program materials; </w:t>
      </w:r>
    </w:p>
    <w:p w14:paraId="54C1E1F7" w14:textId="521BC26B"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Tutoring, counseling, and student service programs designed to improve academic success; </w:t>
      </w:r>
    </w:p>
    <w:p w14:paraId="2D06AE80" w14:textId="3D703949"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Funds and administrative management, and acquisition of equipment for use in strengthening funds management; </w:t>
      </w:r>
    </w:p>
    <w:p w14:paraId="7461424F" w14:textId="4220DF49"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Joint use of facilities, such as laboratories and libraries; </w:t>
      </w:r>
    </w:p>
    <w:p w14:paraId="5239BA6C" w14:textId="58BD359A"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or improving a development office to strengthen or improve contributions from alumni and the private sector; </w:t>
      </w:r>
    </w:p>
    <w:p w14:paraId="0BB1A677" w14:textId="6F1A720E"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or enhancing a program of teacher education designed to qualify students to teach in a public elementary or secondary school in the State that shall include, as part of the program, preparation for teacher certification; </w:t>
      </w:r>
    </w:p>
    <w:p w14:paraId="394BE5EB" w14:textId="1CF8EC72" w:rsidR="0052509E" w:rsidRPr="0052509E" w:rsidRDefault="0052509E" w:rsidP="0052509E">
      <w:pPr>
        <w:pStyle w:val="ListParagraph"/>
        <w:numPr>
          <w:ilvl w:val="0"/>
          <w:numId w:val="3"/>
        </w:numPr>
        <w:ind w:left="1080" w:hanging="720"/>
        <w:rPr>
          <w:rFonts w:eastAsia="Times New Roman"/>
          <w:szCs w:val="24"/>
        </w:rPr>
      </w:pPr>
      <w:r w:rsidRPr="0052509E">
        <w:rPr>
          <w:rFonts w:eastAsia="Times New Roman"/>
          <w:szCs w:val="24"/>
        </w:rPr>
        <w:t xml:space="preserve">Establishing community outreach programs that will encourage elementary and secondary students to develop the academic skills and the interest to pursue postsecondary education; and </w:t>
      </w:r>
    </w:p>
    <w:p w14:paraId="21036F91" w14:textId="67932AE8" w:rsidR="0052509E" w:rsidRPr="00340CB3" w:rsidRDefault="0052509E" w:rsidP="00340CB3">
      <w:pPr>
        <w:pStyle w:val="ListParagraph"/>
        <w:numPr>
          <w:ilvl w:val="0"/>
          <w:numId w:val="3"/>
        </w:numPr>
        <w:ind w:left="1080" w:hanging="720"/>
        <w:rPr>
          <w:rFonts w:eastAsia="Times New Roman"/>
          <w:szCs w:val="24"/>
        </w:rPr>
      </w:pPr>
      <w:r w:rsidRPr="0052509E">
        <w:rPr>
          <w:rFonts w:eastAsia="Times New Roman"/>
          <w:szCs w:val="24"/>
        </w:rPr>
        <w:t xml:space="preserve">Other activities that it proposes in its application that contribute to carrying out the purpose of this part and are approved by the Secretary as part of the review and acceptance of the application. </w:t>
      </w:r>
    </w:p>
    <w:p w14:paraId="07A5A764" w14:textId="77777777" w:rsidR="0052509E" w:rsidRPr="0052509E" w:rsidRDefault="0052509E" w:rsidP="0052509E">
      <w:pPr>
        <w:rPr>
          <w:rFonts w:eastAsia="Times New Roman"/>
          <w:szCs w:val="24"/>
        </w:rPr>
      </w:pPr>
    </w:p>
    <w:p w14:paraId="7C4873D3" w14:textId="72A8799C" w:rsidR="00291B01" w:rsidRDefault="0052509E" w:rsidP="00291B01">
      <w:pPr>
        <w:pStyle w:val="ListParagraph"/>
        <w:numPr>
          <w:ilvl w:val="0"/>
          <w:numId w:val="7"/>
        </w:numPr>
        <w:ind w:left="0" w:firstLine="0"/>
        <w:rPr>
          <w:rFonts w:eastAsia="Times New Roman"/>
          <w:szCs w:val="24"/>
        </w:rPr>
      </w:pPr>
      <w:r w:rsidRPr="00291B01">
        <w:rPr>
          <w:rFonts w:eastAsia="Times New Roman"/>
          <w:b/>
          <w:bCs/>
          <w:i/>
          <w:iCs/>
          <w:szCs w:val="24"/>
        </w:rPr>
        <w:t>Unallowable activities.</w:t>
      </w:r>
      <w:r w:rsidRPr="00291B01">
        <w:rPr>
          <w:rFonts w:eastAsia="Times New Roman"/>
          <w:szCs w:val="24"/>
        </w:rPr>
        <w:t xml:space="preserve"> A grantee may not carry out the following activities under this part</w:t>
      </w:r>
    </w:p>
    <w:p w14:paraId="7BC4B9CA" w14:textId="49EBF5FB" w:rsidR="0052509E" w:rsidRPr="00291B01" w:rsidRDefault="0052509E" w:rsidP="00291B01">
      <w:pPr>
        <w:rPr>
          <w:rFonts w:eastAsia="Times New Roman"/>
          <w:szCs w:val="24"/>
        </w:rPr>
      </w:pPr>
      <w:r w:rsidRPr="00291B01">
        <w:rPr>
          <w:rFonts w:eastAsia="Times New Roman"/>
          <w:szCs w:val="24"/>
        </w:rPr>
        <w:t xml:space="preserve"> </w:t>
      </w:r>
    </w:p>
    <w:p w14:paraId="45186E4C" w14:textId="694E749A"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that are not included in the grantee's approved application; </w:t>
      </w:r>
    </w:p>
    <w:p w14:paraId="554C3373" w14:textId="3DAC17B2"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described in </w:t>
      </w:r>
      <w:hyperlink r:id="rId12" w:anchor="p-608.10(a)(12)" w:history="1">
        <w:r w:rsidRPr="0052509E">
          <w:rPr>
            <w:rFonts w:eastAsia="Times New Roman"/>
            <w:color w:val="0000FF"/>
            <w:szCs w:val="24"/>
            <w:u w:val="single"/>
          </w:rPr>
          <w:t>paragraph (a)(12)</w:t>
        </w:r>
      </w:hyperlink>
      <w:r w:rsidRPr="0052509E">
        <w:rPr>
          <w:rFonts w:eastAsia="Times New Roman"/>
          <w:szCs w:val="24"/>
        </w:rPr>
        <w:t xml:space="preserve"> of this section that are not approved by the Secretary; </w:t>
      </w:r>
    </w:p>
    <w:p w14:paraId="675E9472" w14:textId="72310820"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lastRenderedPageBreak/>
        <w:t xml:space="preserve">Activities that are inconsistent with any State plan of higher education that is applicable to the institution; </w:t>
      </w:r>
    </w:p>
    <w:p w14:paraId="3271D92B" w14:textId="3260CC47"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that are inconsistent with a State plan for desegregation of higher education that is applicable to the institution; </w:t>
      </w:r>
    </w:p>
    <w:p w14:paraId="54A514D8" w14:textId="624245D6" w:rsidR="0052509E" w:rsidRP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or services that constitute religious instruction, religious worship, or proselytization. </w:t>
      </w:r>
    </w:p>
    <w:p w14:paraId="5C1D9495" w14:textId="0D02517B" w:rsidR="0052509E" w:rsidRDefault="0052509E" w:rsidP="0052509E">
      <w:pPr>
        <w:pStyle w:val="ListParagraph"/>
        <w:numPr>
          <w:ilvl w:val="0"/>
          <w:numId w:val="6"/>
        </w:numPr>
        <w:ind w:left="990" w:hanging="810"/>
        <w:rPr>
          <w:rFonts w:eastAsia="Times New Roman"/>
          <w:szCs w:val="24"/>
        </w:rPr>
      </w:pPr>
      <w:r w:rsidRPr="0052509E">
        <w:rPr>
          <w:rFonts w:eastAsia="Times New Roman"/>
          <w:szCs w:val="24"/>
        </w:rPr>
        <w:t xml:space="preserve">Activities provided by a school or department of divinity. For the purpose of this provision, a “school or department of divinity” means an institution, or a department of an institution, whose program is solely to prepare students to become ministers of religion or to enter into some other religious vocation. </w:t>
      </w:r>
    </w:p>
    <w:p w14:paraId="2CFC8412" w14:textId="77777777" w:rsidR="00291B01" w:rsidRPr="00291B01" w:rsidRDefault="00291B01" w:rsidP="00291B01">
      <w:pPr>
        <w:ind w:left="180"/>
        <w:rPr>
          <w:rFonts w:eastAsia="Times New Roman"/>
          <w:szCs w:val="24"/>
        </w:rPr>
      </w:pPr>
    </w:p>
    <w:p w14:paraId="75DA0A77" w14:textId="60F82207" w:rsidR="0052509E" w:rsidRDefault="0052509E" w:rsidP="00291B01">
      <w:pPr>
        <w:pStyle w:val="ListParagraph"/>
        <w:numPr>
          <w:ilvl w:val="0"/>
          <w:numId w:val="7"/>
        </w:numPr>
        <w:ind w:left="180" w:hanging="180"/>
        <w:rPr>
          <w:rFonts w:eastAsia="Times New Roman"/>
          <w:szCs w:val="24"/>
        </w:rPr>
      </w:pPr>
      <w:r w:rsidRPr="00291B01">
        <w:rPr>
          <w:rFonts w:eastAsia="Times New Roman"/>
          <w:szCs w:val="24"/>
        </w:rPr>
        <w:t xml:space="preserve">No award under this part may be used for telecommunications technology equipment, facilities or services, if such equipment, facilities or services are available pursuant to section 396(k) of the Communications Act of 1934. </w:t>
      </w:r>
    </w:p>
    <w:p w14:paraId="2A3E5729" w14:textId="77777777" w:rsidR="00291B01" w:rsidRPr="00291B01" w:rsidRDefault="00291B01" w:rsidP="00291B01">
      <w:pPr>
        <w:ind w:left="180"/>
        <w:rPr>
          <w:rFonts w:eastAsia="Times New Roman"/>
          <w:szCs w:val="24"/>
        </w:rPr>
      </w:pPr>
    </w:p>
    <w:p w14:paraId="48D07E7A" w14:textId="548694DA" w:rsidR="0052509E" w:rsidRPr="00291B01" w:rsidRDefault="0052509E" w:rsidP="00291B01">
      <w:pPr>
        <w:pStyle w:val="ListParagraph"/>
        <w:numPr>
          <w:ilvl w:val="0"/>
          <w:numId w:val="7"/>
        </w:numPr>
        <w:ind w:left="180" w:hanging="180"/>
        <w:rPr>
          <w:rFonts w:eastAsia="Times New Roman"/>
          <w:szCs w:val="24"/>
        </w:rPr>
      </w:pPr>
      <w:r w:rsidRPr="00291B01">
        <w:rPr>
          <w:rFonts w:eastAsia="Times New Roman"/>
          <w:b/>
          <w:bCs/>
          <w:i/>
          <w:iCs/>
          <w:szCs w:val="24"/>
        </w:rPr>
        <w:t>Endowment funds.</w:t>
      </w:r>
      <w:r w:rsidRPr="00291B01">
        <w:rPr>
          <w:rFonts w:eastAsia="Times New Roman"/>
          <w:szCs w:val="24"/>
        </w:rPr>
        <w:t xml:space="preserve"> If a grantee uses part of its grant funds to establish or increase an endowment fund, it is subject to the provisions of </w:t>
      </w:r>
      <w:hyperlink r:id="rId13" w:history="1">
        <w:r w:rsidRPr="00291B01">
          <w:rPr>
            <w:rFonts w:eastAsia="Times New Roman"/>
            <w:color w:val="0000FF"/>
            <w:szCs w:val="24"/>
            <w:u w:val="single"/>
          </w:rPr>
          <w:t>§§ 628.3</w:t>
        </w:r>
      </w:hyperlink>
      <w:r w:rsidRPr="00291B01">
        <w:rPr>
          <w:rFonts w:eastAsia="Times New Roman"/>
          <w:szCs w:val="24"/>
        </w:rPr>
        <w:t xml:space="preserve">, </w:t>
      </w:r>
      <w:hyperlink r:id="rId14" w:history="1">
        <w:r w:rsidRPr="00291B01">
          <w:rPr>
            <w:rFonts w:eastAsia="Times New Roman"/>
            <w:color w:val="0000FF"/>
            <w:szCs w:val="24"/>
            <w:u w:val="single"/>
          </w:rPr>
          <w:t>628.6</w:t>
        </w:r>
      </w:hyperlink>
      <w:r w:rsidRPr="00291B01">
        <w:rPr>
          <w:rFonts w:eastAsia="Times New Roman"/>
          <w:szCs w:val="24"/>
        </w:rPr>
        <w:t xml:space="preserve">, </w:t>
      </w:r>
      <w:hyperlink r:id="rId15" w:history="1">
        <w:r w:rsidRPr="00291B01">
          <w:rPr>
            <w:rFonts w:eastAsia="Times New Roman"/>
            <w:color w:val="0000FF"/>
            <w:szCs w:val="24"/>
            <w:u w:val="single"/>
          </w:rPr>
          <w:t>628.10</w:t>
        </w:r>
      </w:hyperlink>
      <w:r w:rsidRPr="00291B01">
        <w:rPr>
          <w:rFonts w:eastAsia="Times New Roman"/>
          <w:szCs w:val="24"/>
        </w:rPr>
        <w:t xml:space="preserve"> and </w:t>
      </w:r>
      <w:hyperlink r:id="rId16" w:history="1">
        <w:r w:rsidRPr="00291B01">
          <w:rPr>
            <w:rFonts w:eastAsia="Times New Roman"/>
            <w:color w:val="0000FF"/>
            <w:szCs w:val="24"/>
            <w:u w:val="single"/>
          </w:rPr>
          <w:t>628.41</w:t>
        </w:r>
      </w:hyperlink>
      <w:r w:rsidRPr="00291B01">
        <w:rPr>
          <w:rFonts w:eastAsia="Times New Roman"/>
          <w:szCs w:val="24"/>
        </w:rPr>
        <w:t xml:space="preserve"> through </w:t>
      </w:r>
      <w:hyperlink r:id="rId17" w:history="1">
        <w:r w:rsidRPr="00291B01">
          <w:rPr>
            <w:rFonts w:eastAsia="Times New Roman"/>
            <w:color w:val="0000FF"/>
            <w:szCs w:val="24"/>
            <w:u w:val="single"/>
          </w:rPr>
          <w:t>628.47 of this chapter</w:t>
        </w:r>
      </w:hyperlink>
      <w:r w:rsidRPr="00291B01">
        <w:rPr>
          <w:rFonts w:eastAsia="Times New Roman"/>
          <w:szCs w:val="24"/>
        </w:rPr>
        <w:t xml:space="preserve"> with regard to the use of those funds, except - </w:t>
      </w:r>
    </w:p>
    <w:p w14:paraId="0190E2EB" w14:textId="3A819B87"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The definition of the term “endowment fund income” in </w:t>
      </w:r>
      <w:hyperlink r:id="rId18" w:history="1">
        <w:r w:rsidRPr="00291B01">
          <w:rPr>
            <w:rFonts w:eastAsia="Times New Roman"/>
            <w:color w:val="0000FF"/>
            <w:szCs w:val="24"/>
            <w:u w:val="single"/>
          </w:rPr>
          <w:t>§ 628.6 of this chapter</w:t>
        </w:r>
      </w:hyperlink>
      <w:r w:rsidRPr="00291B01">
        <w:rPr>
          <w:rFonts w:eastAsia="Times New Roman"/>
          <w:szCs w:val="24"/>
        </w:rPr>
        <w:t xml:space="preserve"> does not apply. For the purposes of this </w:t>
      </w:r>
      <w:hyperlink r:id="rId19" w:anchor="p-608.10(d)" w:history="1">
        <w:r w:rsidRPr="00291B01">
          <w:rPr>
            <w:rFonts w:eastAsia="Times New Roman"/>
            <w:color w:val="0000FF"/>
            <w:szCs w:val="24"/>
            <w:u w:val="single"/>
          </w:rPr>
          <w:t>paragraph (d)</w:t>
        </w:r>
      </w:hyperlink>
      <w:r w:rsidRPr="00291B01">
        <w:rPr>
          <w:rFonts w:eastAsia="Times New Roman"/>
          <w:szCs w:val="24"/>
        </w:rPr>
        <w:t xml:space="preserve">, “endowment fund income” means an amount equal to the total value of the fund, including fund appreciation and retained interest and dividends, minus the endowment fund corpus; </w:t>
      </w:r>
    </w:p>
    <w:p w14:paraId="2E5E079F" w14:textId="786C8542"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Instead of the requirement in </w:t>
      </w:r>
      <w:hyperlink r:id="rId20" w:anchor="p-628.10(a)" w:history="1">
        <w:r w:rsidRPr="00291B01">
          <w:rPr>
            <w:rFonts w:eastAsia="Times New Roman"/>
            <w:color w:val="0000FF"/>
            <w:szCs w:val="24"/>
            <w:u w:val="single"/>
          </w:rPr>
          <w:t>§ 628.10(a) of this chapter</w:t>
        </w:r>
      </w:hyperlink>
      <w:r w:rsidRPr="00291B01">
        <w:rPr>
          <w:rFonts w:eastAsia="Times New Roman"/>
          <w:szCs w:val="24"/>
        </w:rPr>
        <w:t xml:space="preserve">, the grantee institution must match each dollar of Federal grant funds used to establish or increase an endowment fund with one dollar of non-Federal funds; and </w:t>
      </w:r>
    </w:p>
    <w:p w14:paraId="685725B8" w14:textId="36815CF7" w:rsidR="0052509E" w:rsidRPr="00291B01" w:rsidRDefault="0052509E" w:rsidP="00291B01">
      <w:pPr>
        <w:pStyle w:val="ListParagraph"/>
        <w:numPr>
          <w:ilvl w:val="0"/>
          <w:numId w:val="9"/>
        </w:numPr>
        <w:spacing w:before="100" w:beforeAutospacing="1" w:after="100" w:afterAutospacing="1"/>
        <w:ind w:left="990" w:hanging="720"/>
        <w:rPr>
          <w:rFonts w:eastAsia="Times New Roman"/>
          <w:szCs w:val="24"/>
        </w:rPr>
      </w:pPr>
      <w:r w:rsidRPr="00291B01">
        <w:rPr>
          <w:rFonts w:eastAsia="Times New Roman"/>
          <w:szCs w:val="24"/>
        </w:rPr>
        <w:t xml:space="preserve">Instead of the requirements in </w:t>
      </w:r>
      <w:hyperlink r:id="rId21" w:anchor="p-628.41(a)(3)" w:history="1">
        <w:r w:rsidRPr="00291B01">
          <w:rPr>
            <w:rFonts w:eastAsia="Times New Roman"/>
            <w:color w:val="0000FF"/>
            <w:szCs w:val="24"/>
            <w:u w:val="single"/>
          </w:rPr>
          <w:t>§ 628.41(a)(3)</w:t>
        </w:r>
      </w:hyperlink>
      <w:r w:rsidRPr="00291B01">
        <w:rPr>
          <w:rFonts w:eastAsia="Times New Roman"/>
          <w:szCs w:val="24"/>
        </w:rPr>
        <w:t xml:space="preserve"> through </w:t>
      </w:r>
      <w:hyperlink r:id="rId22" w:anchor="p-628.41(a)(5)" w:history="1">
        <w:r w:rsidRPr="00291B01">
          <w:rPr>
            <w:rFonts w:eastAsia="Times New Roman"/>
            <w:color w:val="0000FF"/>
            <w:szCs w:val="24"/>
            <w:u w:val="single"/>
          </w:rPr>
          <w:t>(a)(5)</w:t>
        </w:r>
      </w:hyperlink>
      <w:r w:rsidRPr="00291B01">
        <w:rPr>
          <w:rFonts w:eastAsia="Times New Roman"/>
          <w:szCs w:val="24"/>
        </w:rPr>
        <w:t xml:space="preserve"> and the introductory text in </w:t>
      </w:r>
      <w:hyperlink r:id="rId23" w:anchor="p-628.41(b)" w:history="1">
        <w:r w:rsidRPr="00291B01">
          <w:rPr>
            <w:rFonts w:eastAsia="Times New Roman"/>
            <w:color w:val="0000FF"/>
            <w:szCs w:val="24"/>
            <w:u w:val="single"/>
          </w:rPr>
          <w:t>§ 628.41(b)</w:t>
        </w:r>
      </w:hyperlink>
      <w:r w:rsidRPr="00291B01">
        <w:rPr>
          <w:rFonts w:eastAsia="Times New Roman"/>
          <w:szCs w:val="24"/>
        </w:rPr>
        <w:t xml:space="preserve"> and </w:t>
      </w:r>
      <w:hyperlink r:id="rId24" w:anchor="p-628.41(b)(2)" w:history="1">
        <w:r w:rsidRPr="00291B01">
          <w:rPr>
            <w:rFonts w:eastAsia="Times New Roman"/>
            <w:color w:val="0000FF"/>
            <w:szCs w:val="24"/>
            <w:u w:val="single"/>
          </w:rPr>
          <w:t>§ 628.41(b)(2)</w:t>
        </w:r>
      </w:hyperlink>
      <w:r w:rsidRPr="00291B01">
        <w:rPr>
          <w:rFonts w:eastAsia="Times New Roman"/>
          <w:szCs w:val="24"/>
        </w:rPr>
        <w:t xml:space="preserve"> and </w:t>
      </w:r>
      <w:hyperlink r:id="rId25" w:anchor="p-628.41(b)(3)" w:history="1">
        <w:r w:rsidRPr="00291B01">
          <w:rPr>
            <w:rFonts w:eastAsia="Times New Roman"/>
            <w:color w:val="0000FF"/>
            <w:szCs w:val="24"/>
            <w:u w:val="single"/>
          </w:rPr>
          <w:t>(b)(3) of this chapter</w:t>
        </w:r>
      </w:hyperlink>
      <w:r w:rsidRPr="00291B01">
        <w:rPr>
          <w:rFonts w:eastAsia="Times New Roman"/>
          <w:szCs w:val="24"/>
        </w:rPr>
        <w:t xml:space="preserve">, if a grantee institution decides to use any of its grant funds for endowment purposes, it must match those grant funds immediately with non-Federal funds when it places those funds into its endowment fund. </w:t>
      </w:r>
    </w:p>
    <w:p w14:paraId="724EE9B5" w14:textId="77777777" w:rsidR="0052509E" w:rsidRPr="0052509E" w:rsidRDefault="0052509E" w:rsidP="00291B01">
      <w:pPr>
        <w:rPr>
          <w:rFonts w:eastAsia="Times New Roman"/>
          <w:sz w:val="20"/>
          <w:szCs w:val="20"/>
        </w:rPr>
      </w:pPr>
      <w:r w:rsidRPr="0052509E">
        <w:rPr>
          <w:rFonts w:eastAsia="Times New Roman"/>
          <w:sz w:val="20"/>
          <w:szCs w:val="20"/>
        </w:rPr>
        <w:t xml:space="preserve">(Authority: </w:t>
      </w:r>
      <w:hyperlink r:id="rId26" w:tgtFrame="_blank" w:history="1">
        <w:r w:rsidRPr="0052509E">
          <w:rPr>
            <w:rFonts w:eastAsia="Times New Roman"/>
            <w:color w:val="0000FF"/>
            <w:sz w:val="20"/>
            <w:szCs w:val="20"/>
            <w:u w:val="single"/>
          </w:rPr>
          <w:t>20 U.S.C. 1062</w:t>
        </w:r>
      </w:hyperlink>
      <w:r w:rsidRPr="0052509E">
        <w:rPr>
          <w:rFonts w:eastAsia="Times New Roman"/>
          <w:sz w:val="20"/>
          <w:szCs w:val="20"/>
        </w:rPr>
        <w:t xml:space="preserve">, </w:t>
      </w:r>
      <w:hyperlink r:id="rId27" w:tgtFrame="_blank" w:history="1">
        <w:r w:rsidRPr="0052509E">
          <w:rPr>
            <w:rFonts w:eastAsia="Times New Roman"/>
            <w:color w:val="0000FF"/>
            <w:sz w:val="20"/>
            <w:szCs w:val="20"/>
            <w:u w:val="single"/>
          </w:rPr>
          <w:t>1063a</w:t>
        </w:r>
      </w:hyperlink>
      <w:r w:rsidRPr="0052509E">
        <w:rPr>
          <w:rFonts w:eastAsia="Times New Roman"/>
          <w:sz w:val="20"/>
          <w:szCs w:val="20"/>
        </w:rPr>
        <w:t xml:space="preserve">, and </w:t>
      </w:r>
      <w:hyperlink r:id="rId28" w:tgtFrame="_blank" w:history="1">
        <w:r w:rsidRPr="0052509E">
          <w:rPr>
            <w:rFonts w:eastAsia="Times New Roman"/>
            <w:color w:val="0000FF"/>
            <w:sz w:val="20"/>
            <w:szCs w:val="20"/>
            <w:u w:val="single"/>
          </w:rPr>
          <w:t>1069c</w:t>
        </w:r>
      </w:hyperlink>
      <w:r w:rsidRPr="0052509E">
        <w:rPr>
          <w:rFonts w:eastAsia="Times New Roman"/>
          <w:sz w:val="20"/>
          <w:szCs w:val="20"/>
        </w:rPr>
        <w:t xml:space="preserve">) </w:t>
      </w:r>
    </w:p>
    <w:p w14:paraId="5868AF73" w14:textId="77777777" w:rsidR="0052509E" w:rsidRPr="0052509E" w:rsidRDefault="0052509E" w:rsidP="00291B01">
      <w:pPr>
        <w:rPr>
          <w:rFonts w:eastAsia="Times New Roman"/>
          <w:sz w:val="20"/>
          <w:szCs w:val="20"/>
        </w:rPr>
      </w:pPr>
      <w:r w:rsidRPr="0052509E">
        <w:rPr>
          <w:rFonts w:eastAsia="Times New Roman"/>
          <w:sz w:val="20"/>
          <w:szCs w:val="20"/>
        </w:rPr>
        <w:t>[</w:t>
      </w:r>
      <w:hyperlink r:id="rId29" w:history="1">
        <w:r w:rsidRPr="0052509E">
          <w:rPr>
            <w:rFonts w:eastAsia="Times New Roman"/>
            <w:color w:val="0000FF"/>
            <w:sz w:val="20"/>
            <w:szCs w:val="20"/>
            <w:u w:val="single"/>
          </w:rPr>
          <w:t>58 FR 38713</w:t>
        </w:r>
      </w:hyperlink>
      <w:r w:rsidRPr="0052509E">
        <w:rPr>
          <w:rFonts w:eastAsia="Times New Roman"/>
          <w:sz w:val="20"/>
          <w:szCs w:val="20"/>
        </w:rPr>
        <w:t xml:space="preserve">, July 20, 1993, as amended at </w:t>
      </w:r>
      <w:hyperlink r:id="rId30" w:history="1">
        <w:r w:rsidRPr="0052509E">
          <w:rPr>
            <w:rFonts w:eastAsia="Times New Roman"/>
            <w:color w:val="0000FF"/>
            <w:sz w:val="20"/>
            <w:szCs w:val="20"/>
            <w:u w:val="single"/>
          </w:rPr>
          <w:t>65 FR 79311</w:t>
        </w:r>
      </w:hyperlink>
      <w:r w:rsidRPr="0052509E">
        <w:rPr>
          <w:rFonts w:eastAsia="Times New Roman"/>
          <w:sz w:val="20"/>
          <w:szCs w:val="20"/>
        </w:rPr>
        <w:t xml:space="preserve">, Dec. 19, 2000; </w:t>
      </w:r>
      <w:hyperlink r:id="rId31" w:history="1">
        <w:r w:rsidRPr="0052509E">
          <w:rPr>
            <w:rFonts w:eastAsia="Times New Roman"/>
            <w:color w:val="0000FF"/>
            <w:sz w:val="20"/>
            <w:szCs w:val="20"/>
            <w:u w:val="single"/>
          </w:rPr>
          <w:t>85 FR 59981</w:t>
        </w:r>
      </w:hyperlink>
      <w:r w:rsidRPr="0052509E">
        <w:rPr>
          <w:rFonts w:eastAsia="Times New Roman"/>
          <w:sz w:val="20"/>
          <w:szCs w:val="20"/>
        </w:rPr>
        <w:t>, Sept. 23, 2020]</w:t>
      </w:r>
    </w:p>
    <w:p w14:paraId="5204F88D" w14:textId="07423DD3" w:rsidR="00000000" w:rsidRDefault="00000000"/>
    <w:p w14:paraId="134A74B0" w14:textId="2A6B3DC9" w:rsidR="00A23F47" w:rsidRDefault="00A23F47"/>
    <w:p w14:paraId="6F2E042F" w14:textId="536379CE" w:rsidR="00A23F47" w:rsidRDefault="00A23F47">
      <w:r>
        <w:br w:type="page"/>
      </w:r>
    </w:p>
    <w:p w14:paraId="28141503" w14:textId="5C911466" w:rsidR="00340CB3" w:rsidRDefault="00340CB3" w:rsidP="00340CB3">
      <w:pPr>
        <w:pStyle w:val="Heading1"/>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HB</w:t>
      </w:r>
      <w:r>
        <w:rPr>
          <w:rFonts w:ascii="Times New Roman" w:hAnsi="Times New Roman" w:cs="Times New Roman"/>
          <w:b/>
          <w:bCs/>
          <w:color w:val="auto"/>
          <w:sz w:val="28"/>
          <w:szCs w:val="28"/>
        </w:rPr>
        <w:t>GI</w:t>
      </w:r>
      <w:r>
        <w:rPr>
          <w:rFonts w:ascii="Times New Roman" w:hAnsi="Times New Roman" w:cs="Times New Roman"/>
          <w:b/>
          <w:bCs/>
          <w:color w:val="auto"/>
          <w:sz w:val="28"/>
          <w:szCs w:val="28"/>
        </w:rPr>
        <w:t xml:space="preserve"> Grant</w:t>
      </w:r>
    </w:p>
    <w:p w14:paraId="02A74D78" w14:textId="4DE8980C" w:rsidR="00A23F47" w:rsidRPr="00A23F47" w:rsidRDefault="00000000" w:rsidP="00A23F47">
      <w:pPr>
        <w:pStyle w:val="Heading1"/>
        <w:rPr>
          <w:rFonts w:ascii="Times New Roman" w:hAnsi="Times New Roman" w:cs="Times New Roman"/>
          <w:b/>
          <w:bCs/>
          <w:sz w:val="28"/>
          <w:szCs w:val="28"/>
        </w:rPr>
      </w:pPr>
      <w:hyperlink r:id="rId32" w:history="1">
        <w:r w:rsidR="00A23F47" w:rsidRPr="00A23F47">
          <w:rPr>
            <w:rStyle w:val="Hyperlink"/>
            <w:rFonts w:ascii="Times New Roman" w:hAnsi="Times New Roman" w:cs="Times New Roman"/>
            <w:b/>
            <w:bCs/>
            <w:sz w:val="28"/>
            <w:szCs w:val="28"/>
          </w:rPr>
          <w:t xml:space="preserve">PART 609 - STRENGTHENING HISTORICALLY BLACK GRADUATE INSTITUTIONS PROGRAM </w:t>
        </w:r>
      </w:hyperlink>
    </w:p>
    <w:p w14:paraId="6753B927" w14:textId="77777777" w:rsidR="00A23F47" w:rsidRPr="00A23F47" w:rsidRDefault="00A23F47" w:rsidP="00A23F47">
      <w:pPr>
        <w:rPr>
          <w:b/>
          <w:bCs/>
        </w:rPr>
      </w:pPr>
      <w:r w:rsidRPr="00A23F47">
        <w:rPr>
          <w:rStyle w:val="inline-header"/>
          <w:b/>
          <w:bCs/>
        </w:rPr>
        <w:t>Authority:</w:t>
      </w:r>
      <w:r w:rsidRPr="00A23F47">
        <w:rPr>
          <w:b/>
          <w:bCs/>
        </w:rPr>
        <w:t xml:space="preserve"> </w:t>
      </w:r>
      <w:hyperlink r:id="rId33" w:tgtFrame="_blank" w:history="1">
        <w:r w:rsidRPr="00A23F47">
          <w:rPr>
            <w:rStyle w:val="Hyperlink"/>
            <w:b/>
            <w:bCs/>
          </w:rPr>
          <w:t>20 U.S.C. 1060</w:t>
        </w:r>
      </w:hyperlink>
      <w:r w:rsidRPr="00A23F47">
        <w:rPr>
          <w:rStyle w:val="inline-paragraph"/>
          <w:b/>
          <w:bCs/>
        </w:rPr>
        <w:t xml:space="preserve"> through </w:t>
      </w:r>
      <w:hyperlink r:id="rId34" w:tgtFrame="_blank" w:history="1">
        <w:r w:rsidRPr="00A23F47">
          <w:rPr>
            <w:rStyle w:val="Hyperlink"/>
            <w:b/>
            <w:bCs/>
          </w:rPr>
          <w:t>1063c</w:t>
        </w:r>
      </w:hyperlink>
      <w:r w:rsidRPr="00A23F47">
        <w:rPr>
          <w:rStyle w:val="inline-paragraph"/>
          <w:b/>
          <w:bCs/>
        </w:rPr>
        <w:t xml:space="preserve">, and </w:t>
      </w:r>
      <w:hyperlink r:id="rId35" w:tgtFrame="_blank" w:history="1">
        <w:r w:rsidRPr="00A23F47">
          <w:rPr>
            <w:rStyle w:val="Hyperlink"/>
            <w:b/>
            <w:bCs/>
          </w:rPr>
          <w:t>1068</w:t>
        </w:r>
      </w:hyperlink>
      <w:r w:rsidRPr="00A23F47">
        <w:rPr>
          <w:rStyle w:val="inline-paragraph"/>
          <w:b/>
          <w:bCs/>
        </w:rPr>
        <w:t xml:space="preserve"> through </w:t>
      </w:r>
      <w:hyperlink r:id="rId36" w:tgtFrame="_blank" w:history="1">
        <w:r w:rsidRPr="00A23F47">
          <w:rPr>
            <w:rStyle w:val="Hyperlink"/>
            <w:b/>
            <w:bCs/>
          </w:rPr>
          <w:t>1068h</w:t>
        </w:r>
      </w:hyperlink>
      <w:r w:rsidRPr="00A23F47">
        <w:rPr>
          <w:rStyle w:val="inline-paragraph"/>
          <w:b/>
          <w:bCs/>
        </w:rPr>
        <w:t xml:space="preserve">, unless otherwise noted. </w:t>
      </w:r>
    </w:p>
    <w:p w14:paraId="11F2EEBB" w14:textId="77777777" w:rsidR="00A23F47" w:rsidRPr="00A23F47" w:rsidRDefault="00A23F47" w:rsidP="00A23F47">
      <w:pPr>
        <w:rPr>
          <w:b/>
          <w:bCs/>
        </w:rPr>
      </w:pPr>
      <w:r w:rsidRPr="00A23F47">
        <w:rPr>
          <w:rStyle w:val="inline-header"/>
          <w:b/>
          <w:bCs/>
        </w:rPr>
        <w:t>Source:</w:t>
      </w:r>
      <w:r w:rsidRPr="00A23F47">
        <w:rPr>
          <w:b/>
          <w:bCs/>
        </w:rPr>
        <w:t xml:space="preserve"> </w:t>
      </w:r>
      <w:hyperlink r:id="rId37" w:history="1">
        <w:r w:rsidRPr="00A23F47">
          <w:rPr>
            <w:rStyle w:val="Hyperlink"/>
            <w:b/>
            <w:bCs/>
          </w:rPr>
          <w:t>59 FR 38717</w:t>
        </w:r>
      </w:hyperlink>
      <w:r w:rsidRPr="00A23F47">
        <w:rPr>
          <w:rStyle w:val="inline-paragraph"/>
          <w:b/>
          <w:bCs/>
        </w:rPr>
        <w:t>, July 20, 1993, unless otherwise noted.</w:t>
      </w:r>
    </w:p>
    <w:p w14:paraId="5E1C698B" w14:textId="57547B7B" w:rsidR="00A23F47" w:rsidRPr="00A23F47" w:rsidRDefault="00000000" w:rsidP="00A23F47">
      <w:pPr>
        <w:pStyle w:val="Heading2"/>
        <w:rPr>
          <w:sz w:val="28"/>
          <w:szCs w:val="28"/>
        </w:rPr>
      </w:pPr>
      <w:hyperlink r:id="rId38" w:history="1">
        <w:r w:rsidR="00A23F47" w:rsidRPr="00A23F47">
          <w:rPr>
            <w:rStyle w:val="Hyperlink"/>
            <w:sz w:val="28"/>
            <w:szCs w:val="28"/>
          </w:rPr>
          <w:t>§ 609.10 What activities may be carried out under a grant?</w:t>
        </w:r>
      </w:hyperlink>
    </w:p>
    <w:p w14:paraId="0309EBEA" w14:textId="77777777" w:rsidR="00A23F47" w:rsidRDefault="00A23F47" w:rsidP="00A23F47">
      <w:pPr>
        <w:pStyle w:val="indent-1"/>
        <w:ind w:left="180"/>
      </w:pPr>
      <w:r>
        <w:rPr>
          <w:rStyle w:val="paren"/>
        </w:rPr>
        <w:t>(</w:t>
      </w:r>
      <w:r>
        <w:rPr>
          <w:rStyle w:val="paragraph-hierarchy"/>
        </w:rPr>
        <w:t>a</w:t>
      </w:r>
      <w:r>
        <w:rPr>
          <w:rStyle w:val="paren"/>
        </w:rPr>
        <w:t>)</w:t>
      </w:r>
      <w:r>
        <w:t xml:space="preserve"> </w:t>
      </w:r>
      <w:r>
        <w:rPr>
          <w:rStyle w:val="Emphasis"/>
          <w:b/>
          <w:bCs/>
        </w:rPr>
        <w:t>Allowable activities.</w:t>
      </w:r>
      <w:r>
        <w:t xml:space="preserve"> Except as provided in </w:t>
      </w:r>
      <w:hyperlink r:id="rId39" w:anchor="p-609.10(b)" w:history="1">
        <w:r>
          <w:rPr>
            <w:rStyle w:val="Hyperlink"/>
          </w:rPr>
          <w:t>paragraph (b)</w:t>
        </w:r>
      </w:hyperlink>
      <w:r>
        <w:t xml:space="preserve"> of this section, a grantee may carry out the following activities under this part - </w:t>
      </w:r>
    </w:p>
    <w:p w14:paraId="2EAC317F" w14:textId="77777777" w:rsidR="00A23F47" w:rsidRDefault="00A23F47" w:rsidP="00A23F47">
      <w:pPr>
        <w:pStyle w:val="indent-2"/>
        <w:ind w:left="360"/>
      </w:pPr>
      <w:r>
        <w:rPr>
          <w:rStyle w:val="paren"/>
        </w:rPr>
        <w:t>(</w:t>
      </w:r>
      <w:r>
        <w:rPr>
          <w:rStyle w:val="paragraph-hierarchy"/>
        </w:rPr>
        <w:t>1</w:t>
      </w:r>
      <w:r>
        <w:rPr>
          <w:rStyle w:val="paren"/>
        </w:rPr>
        <w:t>)</w:t>
      </w:r>
      <w:r>
        <w:t xml:space="preserve"> Purchase, rental, or lease of scientific or laboratory equipment for educational purposes, including instructional or research purposes; </w:t>
      </w:r>
    </w:p>
    <w:p w14:paraId="1EF3A58A" w14:textId="77777777" w:rsidR="00A23F47" w:rsidRDefault="00A23F47" w:rsidP="00A23F47">
      <w:pPr>
        <w:pStyle w:val="indent-2"/>
        <w:ind w:left="360"/>
      </w:pPr>
      <w:r>
        <w:rPr>
          <w:rStyle w:val="paren"/>
        </w:rPr>
        <w:t>(</w:t>
      </w:r>
      <w:r>
        <w:rPr>
          <w:rStyle w:val="paragraph-hierarchy"/>
        </w:rPr>
        <w:t>2</w:t>
      </w:r>
      <w:r>
        <w:rPr>
          <w:rStyle w:val="paren"/>
        </w:rPr>
        <w:t>)</w:t>
      </w:r>
      <w:r>
        <w:t xml:space="preserve"> Construction, maintenance, renovation, and improvement in classroom, library, laboratory, and other instructional facilities, including purchase or rental of telecommunications technology equipment or services; </w:t>
      </w:r>
    </w:p>
    <w:p w14:paraId="042265CB" w14:textId="77777777" w:rsidR="00A23F47" w:rsidRDefault="00A23F47" w:rsidP="00A23F47">
      <w:pPr>
        <w:pStyle w:val="indent-2"/>
        <w:ind w:left="360"/>
      </w:pPr>
      <w:r>
        <w:rPr>
          <w:rStyle w:val="paren"/>
        </w:rPr>
        <w:t>(</w:t>
      </w:r>
      <w:r>
        <w:rPr>
          <w:rStyle w:val="paragraph-hierarchy"/>
        </w:rPr>
        <w:t>3</w:t>
      </w:r>
      <w:r>
        <w:rPr>
          <w:rStyle w:val="paren"/>
        </w:rPr>
        <w:t>)</w:t>
      </w:r>
      <w:r>
        <w:t xml:space="preserve"> Support of faculty exchanges, faculty development and faculty fellowships to assist these faculty members in attaining advanced degrees in their fields of instruction; </w:t>
      </w:r>
    </w:p>
    <w:p w14:paraId="36A7DB3D" w14:textId="77777777" w:rsidR="00A23F47" w:rsidRDefault="00A23F47" w:rsidP="00A23F47">
      <w:pPr>
        <w:pStyle w:val="indent-2"/>
        <w:ind w:left="360"/>
      </w:pPr>
      <w:r>
        <w:rPr>
          <w:rStyle w:val="paren"/>
        </w:rPr>
        <w:t>(</w:t>
      </w:r>
      <w:r>
        <w:rPr>
          <w:rStyle w:val="paragraph-hierarchy"/>
        </w:rPr>
        <w:t>4</w:t>
      </w:r>
      <w:r>
        <w:rPr>
          <w:rStyle w:val="paren"/>
        </w:rPr>
        <w:t>)</w:t>
      </w:r>
      <w:r>
        <w:t xml:space="preserve"> Academic instruction in disciplines in which Black Americans are underrepresented; </w:t>
      </w:r>
    </w:p>
    <w:p w14:paraId="6092795E" w14:textId="77777777" w:rsidR="00A23F47" w:rsidRDefault="00A23F47" w:rsidP="00A23F47">
      <w:pPr>
        <w:pStyle w:val="indent-2"/>
        <w:ind w:left="360"/>
      </w:pPr>
      <w:r>
        <w:rPr>
          <w:rStyle w:val="paren"/>
        </w:rPr>
        <w:t>(</w:t>
      </w:r>
      <w:r>
        <w:rPr>
          <w:rStyle w:val="paragraph-hierarchy"/>
        </w:rPr>
        <w:t>5</w:t>
      </w:r>
      <w:r>
        <w:rPr>
          <w:rStyle w:val="paren"/>
        </w:rPr>
        <w:t>)</w:t>
      </w:r>
      <w:r>
        <w:t xml:space="preserve"> Purchase of library books, periodicals, microfilm, and other educational materials, including telecommunications program materials; </w:t>
      </w:r>
    </w:p>
    <w:p w14:paraId="6E46EC8D" w14:textId="77777777" w:rsidR="00A23F47" w:rsidRDefault="00A23F47" w:rsidP="00A23F47">
      <w:pPr>
        <w:pStyle w:val="indent-2"/>
        <w:ind w:left="360"/>
      </w:pPr>
      <w:r>
        <w:rPr>
          <w:rStyle w:val="paren"/>
        </w:rPr>
        <w:t>(</w:t>
      </w:r>
      <w:r>
        <w:rPr>
          <w:rStyle w:val="paragraph-hierarchy"/>
        </w:rPr>
        <w:t>6</w:t>
      </w:r>
      <w:r>
        <w:rPr>
          <w:rStyle w:val="paren"/>
        </w:rPr>
        <w:t>)</w:t>
      </w:r>
      <w:r>
        <w:t xml:space="preserve"> Tutoring, counseling, and student service programs designed to improve academic success; </w:t>
      </w:r>
    </w:p>
    <w:p w14:paraId="31EDE285" w14:textId="77777777" w:rsidR="00A23F47" w:rsidRDefault="00A23F47" w:rsidP="00A23F47">
      <w:pPr>
        <w:pStyle w:val="indent-2"/>
        <w:ind w:left="360"/>
      </w:pPr>
      <w:r>
        <w:rPr>
          <w:rStyle w:val="paren"/>
        </w:rPr>
        <w:t>(</w:t>
      </w:r>
      <w:r>
        <w:rPr>
          <w:rStyle w:val="paragraph-hierarchy"/>
        </w:rPr>
        <w:t>7</w:t>
      </w:r>
      <w:r>
        <w:rPr>
          <w:rStyle w:val="paren"/>
        </w:rPr>
        <w:t>)</w:t>
      </w:r>
      <w:r>
        <w:t xml:space="preserve"> Funds and administrative management, and acquisition of equipment for use in strengthening funds management; </w:t>
      </w:r>
    </w:p>
    <w:p w14:paraId="0E17E78E" w14:textId="77777777" w:rsidR="00A23F47" w:rsidRDefault="00A23F47" w:rsidP="00A23F47">
      <w:pPr>
        <w:pStyle w:val="indent-2"/>
        <w:ind w:left="360"/>
      </w:pPr>
      <w:r>
        <w:rPr>
          <w:rStyle w:val="paren"/>
        </w:rPr>
        <w:t>(</w:t>
      </w:r>
      <w:r>
        <w:rPr>
          <w:rStyle w:val="paragraph-hierarchy"/>
        </w:rPr>
        <w:t>8</w:t>
      </w:r>
      <w:r>
        <w:rPr>
          <w:rStyle w:val="paren"/>
        </w:rPr>
        <w:t>)</w:t>
      </w:r>
      <w:r>
        <w:t xml:space="preserve"> Joint use of facilities, such as laboratories and libraries; </w:t>
      </w:r>
    </w:p>
    <w:p w14:paraId="461AE0E4" w14:textId="77777777" w:rsidR="00A23F47" w:rsidRDefault="00A23F47" w:rsidP="00A23F47">
      <w:pPr>
        <w:pStyle w:val="indent-2"/>
        <w:ind w:left="360"/>
      </w:pPr>
      <w:r>
        <w:rPr>
          <w:rStyle w:val="paren"/>
        </w:rPr>
        <w:t>(</w:t>
      </w:r>
      <w:r>
        <w:rPr>
          <w:rStyle w:val="paragraph-hierarchy"/>
        </w:rPr>
        <w:t>9</w:t>
      </w:r>
      <w:r>
        <w:rPr>
          <w:rStyle w:val="paren"/>
        </w:rPr>
        <w:t>)</w:t>
      </w:r>
      <w:r>
        <w:t xml:space="preserve"> Establishing or improving a development office to strengthen or improve contributions from alumni and the private sector; </w:t>
      </w:r>
    </w:p>
    <w:p w14:paraId="10326E69" w14:textId="77777777" w:rsidR="00A23F47" w:rsidRDefault="00A23F47" w:rsidP="00A23F47">
      <w:pPr>
        <w:pStyle w:val="indent-2"/>
        <w:ind w:left="360"/>
      </w:pPr>
      <w:r>
        <w:rPr>
          <w:rStyle w:val="paren"/>
        </w:rPr>
        <w:t>(</w:t>
      </w:r>
      <w:r>
        <w:rPr>
          <w:rStyle w:val="paragraph-hierarchy"/>
        </w:rPr>
        <w:t>10</w:t>
      </w:r>
      <w:r>
        <w:rPr>
          <w:rStyle w:val="paren"/>
        </w:rPr>
        <w:t>)</w:t>
      </w:r>
      <w:r>
        <w:t xml:space="preserve"> Establishing or enhancing a program of teacher education designed to qualify students to teach in a public elementary or secondary school in the State that shall include, as part of such program preparation for teacher certification; </w:t>
      </w:r>
    </w:p>
    <w:p w14:paraId="79C274FA" w14:textId="77777777" w:rsidR="00A23F47" w:rsidRDefault="00A23F47" w:rsidP="00A23F47">
      <w:pPr>
        <w:pStyle w:val="indent-2"/>
        <w:ind w:left="360"/>
      </w:pPr>
      <w:r>
        <w:rPr>
          <w:rStyle w:val="paren"/>
        </w:rPr>
        <w:t>(</w:t>
      </w:r>
      <w:r>
        <w:rPr>
          <w:rStyle w:val="paragraph-hierarchy"/>
        </w:rPr>
        <w:t>11</w:t>
      </w:r>
      <w:r>
        <w:rPr>
          <w:rStyle w:val="paren"/>
        </w:rPr>
        <w:t>)</w:t>
      </w:r>
      <w:r>
        <w:t xml:space="preserve"> Establishing community outreach programs that will encourage elementary and secondary students to develop the academic skills and the interest to pursue postsecondary education; </w:t>
      </w:r>
    </w:p>
    <w:p w14:paraId="340E9BEC" w14:textId="77777777" w:rsidR="00A23F47" w:rsidRDefault="00A23F47" w:rsidP="00A23F47">
      <w:pPr>
        <w:pStyle w:val="indent-2"/>
        <w:ind w:left="360"/>
      </w:pPr>
      <w:r>
        <w:rPr>
          <w:rStyle w:val="paren"/>
        </w:rPr>
        <w:lastRenderedPageBreak/>
        <w:t>(</w:t>
      </w:r>
      <w:r>
        <w:rPr>
          <w:rStyle w:val="paragraph-hierarchy"/>
        </w:rPr>
        <w:t>12</w:t>
      </w:r>
      <w:r>
        <w:rPr>
          <w:rStyle w:val="paren"/>
        </w:rPr>
        <w:t>)</w:t>
      </w:r>
      <w:r>
        <w:t xml:space="preserve"> Other activities that it proposes in its application that contribute to carrying out the purpose of this part and are approved by the Secretary; </w:t>
      </w:r>
    </w:p>
    <w:p w14:paraId="2F808560" w14:textId="77777777" w:rsidR="00A23F47" w:rsidRDefault="00A23F47" w:rsidP="00A23F47">
      <w:pPr>
        <w:pStyle w:val="indent-2"/>
        <w:ind w:left="360"/>
      </w:pPr>
      <w:r>
        <w:rPr>
          <w:rStyle w:val="paren"/>
        </w:rPr>
        <w:t>(</w:t>
      </w:r>
      <w:r>
        <w:rPr>
          <w:rStyle w:val="paragraph-hierarchy"/>
        </w:rPr>
        <w:t>13</w:t>
      </w:r>
      <w:r>
        <w:rPr>
          <w:rStyle w:val="paren"/>
        </w:rPr>
        <w:t>)</w:t>
      </w:r>
      <w:r>
        <w:t xml:space="preserve"> Establishing or improving a development office to strengthen and increase contributions from alumni and the private sector; and </w:t>
      </w:r>
    </w:p>
    <w:p w14:paraId="70898924" w14:textId="77777777" w:rsidR="00A23F47" w:rsidRDefault="00A23F47" w:rsidP="00A23F47">
      <w:pPr>
        <w:pStyle w:val="indent-2"/>
        <w:ind w:left="360"/>
      </w:pPr>
      <w:r>
        <w:rPr>
          <w:rStyle w:val="paren"/>
        </w:rPr>
        <w:t>(</w:t>
      </w:r>
      <w:r>
        <w:rPr>
          <w:rStyle w:val="paragraph-hierarchy"/>
        </w:rPr>
        <w:t>14</w:t>
      </w:r>
      <w:r>
        <w:rPr>
          <w:rStyle w:val="paren"/>
        </w:rPr>
        <w:t>)</w:t>
      </w:r>
      <w:r>
        <w:t xml:space="preserve"> Establishing and maintaining an institutional endowment under </w:t>
      </w:r>
      <w:hyperlink r:id="rId40" w:history="1">
        <w:r>
          <w:rPr>
            <w:rStyle w:val="Hyperlink"/>
          </w:rPr>
          <w:t>34 CFR part 628</w:t>
        </w:r>
      </w:hyperlink>
      <w:r>
        <w:t xml:space="preserve"> to facilitate financial independence. </w:t>
      </w:r>
    </w:p>
    <w:p w14:paraId="675F1F0A" w14:textId="5DE699D5" w:rsidR="00A23F47" w:rsidRDefault="00A23F47" w:rsidP="00A23F47">
      <w:pPr>
        <w:pStyle w:val="indent-1"/>
        <w:ind w:left="180"/>
      </w:pPr>
      <w:r>
        <w:rPr>
          <w:rStyle w:val="paren"/>
        </w:rPr>
        <w:t>(</w:t>
      </w:r>
      <w:r>
        <w:rPr>
          <w:rStyle w:val="paragraph-hierarchy"/>
        </w:rPr>
        <w:t>b</w:t>
      </w:r>
      <w:r>
        <w:rPr>
          <w:rStyle w:val="paren"/>
        </w:rPr>
        <w:t>)</w:t>
      </w:r>
      <w:r>
        <w:t xml:space="preserve"> </w:t>
      </w:r>
      <w:r>
        <w:rPr>
          <w:rStyle w:val="Emphasis"/>
          <w:b/>
          <w:bCs/>
        </w:rPr>
        <w:t>Unallowable activities.</w:t>
      </w:r>
      <w:r>
        <w:t xml:space="preserve"> A grantee may not carry out the following activities under this part </w:t>
      </w:r>
    </w:p>
    <w:p w14:paraId="4736B14D" w14:textId="77777777" w:rsidR="00A23F47" w:rsidRDefault="00A23F47" w:rsidP="00A23F47">
      <w:pPr>
        <w:pStyle w:val="indent-2"/>
        <w:ind w:left="360"/>
      </w:pPr>
      <w:r>
        <w:rPr>
          <w:rStyle w:val="paren"/>
        </w:rPr>
        <w:t>(</w:t>
      </w:r>
      <w:r>
        <w:rPr>
          <w:rStyle w:val="paragraph-hierarchy"/>
        </w:rPr>
        <w:t>1</w:t>
      </w:r>
      <w:r>
        <w:rPr>
          <w:rStyle w:val="paren"/>
        </w:rPr>
        <w:t>)</w:t>
      </w:r>
      <w:r>
        <w:t xml:space="preserve"> Activities that are not included in the grantee's approved </w:t>
      </w:r>
      <w:proofErr w:type="gramStart"/>
      <w:r>
        <w:t>application;</w:t>
      </w:r>
      <w:proofErr w:type="gramEnd"/>
      <w:r>
        <w:t xml:space="preserve"> </w:t>
      </w:r>
    </w:p>
    <w:p w14:paraId="183CBBAE" w14:textId="77777777" w:rsidR="00A23F47" w:rsidRDefault="00A23F47" w:rsidP="00A23F47">
      <w:pPr>
        <w:pStyle w:val="indent-2"/>
        <w:ind w:left="360"/>
      </w:pPr>
      <w:r>
        <w:rPr>
          <w:rStyle w:val="paren"/>
        </w:rPr>
        <w:t>(</w:t>
      </w:r>
      <w:r>
        <w:rPr>
          <w:rStyle w:val="paragraph-hierarchy"/>
        </w:rPr>
        <w:t>2</w:t>
      </w:r>
      <w:r>
        <w:rPr>
          <w:rStyle w:val="paren"/>
        </w:rPr>
        <w:t>)</w:t>
      </w:r>
      <w:r>
        <w:t xml:space="preserve"> Activities described in </w:t>
      </w:r>
      <w:hyperlink r:id="rId41" w:anchor="p-609.10(a)(12)" w:history="1">
        <w:r>
          <w:rPr>
            <w:rStyle w:val="Hyperlink"/>
          </w:rPr>
          <w:t>paragraph (a)(12)</w:t>
        </w:r>
      </w:hyperlink>
      <w:r>
        <w:t xml:space="preserve"> of this section that are not approved by the Secretary; </w:t>
      </w:r>
    </w:p>
    <w:p w14:paraId="6CF8BA7B" w14:textId="77777777" w:rsidR="00A23F47" w:rsidRDefault="00A23F47" w:rsidP="00A23F47">
      <w:pPr>
        <w:pStyle w:val="indent-2"/>
        <w:ind w:left="360"/>
      </w:pPr>
      <w:r>
        <w:rPr>
          <w:rStyle w:val="paren"/>
        </w:rPr>
        <w:t>(</w:t>
      </w:r>
      <w:r>
        <w:rPr>
          <w:rStyle w:val="paragraph-hierarchy"/>
        </w:rPr>
        <w:t>3</w:t>
      </w:r>
      <w:r>
        <w:rPr>
          <w:rStyle w:val="paren"/>
        </w:rPr>
        <w:t>)</w:t>
      </w:r>
      <w:r>
        <w:t xml:space="preserve"> Activities that are inconsistent with any State plan of higher education that is applicable to the institution; </w:t>
      </w:r>
    </w:p>
    <w:p w14:paraId="1D16EA56" w14:textId="77777777" w:rsidR="00A23F47" w:rsidRDefault="00A23F47" w:rsidP="00A23F47">
      <w:pPr>
        <w:pStyle w:val="indent-2"/>
        <w:ind w:left="360"/>
      </w:pPr>
      <w:r>
        <w:rPr>
          <w:rStyle w:val="paren"/>
        </w:rPr>
        <w:t>(</w:t>
      </w:r>
      <w:r>
        <w:rPr>
          <w:rStyle w:val="paragraph-hierarchy"/>
        </w:rPr>
        <w:t>4</w:t>
      </w:r>
      <w:r>
        <w:rPr>
          <w:rStyle w:val="paren"/>
        </w:rPr>
        <w:t>)</w:t>
      </w:r>
      <w:r>
        <w:t xml:space="preserve"> Activities that are inconsistent with a State plan for desegregation of higher education that is applicable to the institution; </w:t>
      </w:r>
    </w:p>
    <w:p w14:paraId="13289D37" w14:textId="77777777" w:rsidR="00A23F47" w:rsidRDefault="00A23F47" w:rsidP="00A23F47">
      <w:pPr>
        <w:pStyle w:val="indent-2"/>
        <w:ind w:left="360"/>
      </w:pPr>
      <w:r>
        <w:rPr>
          <w:rStyle w:val="paren"/>
        </w:rPr>
        <w:t>(</w:t>
      </w:r>
      <w:r>
        <w:rPr>
          <w:rStyle w:val="paragraph-hierarchy"/>
        </w:rPr>
        <w:t>5</w:t>
      </w:r>
      <w:r>
        <w:rPr>
          <w:rStyle w:val="paren"/>
        </w:rPr>
        <w:t>)</w:t>
      </w:r>
      <w:r>
        <w:t xml:space="preserve"> Activities or services that constitute religious instruction, religious worship, or proselytization. </w:t>
      </w:r>
    </w:p>
    <w:p w14:paraId="182414C2" w14:textId="77777777" w:rsidR="00A23F47" w:rsidRDefault="00A23F47" w:rsidP="00A23F47">
      <w:pPr>
        <w:pStyle w:val="indent-2"/>
        <w:ind w:left="360"/>
      </w:pPr>
      <w:r>
        <w:rPr>
          <w:rStyle w:val="paren"/>
        </w:rPr>
        <w:t>(</w:t>
      </w:r>
      <w:r>
        <w:rPr>
          <w:rStyle w:val="paragraph-hierarchy"/>
        </w:rPr>
        <w:t>6</w:t>
      </w:r>
      <w:r>
        <w:rPr>
          <w:rStyle w:val="paren"/>
        </w:rPr>
        <w:t>)</w:t>
      </w:r>
      <w:r>
        <w:t xml:space="preserve"> Activities provided by a school or department of divinity. For the purpose of this provision, a “school or department of divinity” means an institution, or a department of an institution, whose program is solely to prepare students to become ministers of religion or to enter into some other religious vocation. </w:t>
      </w:r>
    </w:p>
    <w:p w14:paraId="3B3D1EC8" w14:textId="77777777" w:rsidR="00A23F47" w:rsidRDefault="00A23F47" w:rsidP="00A23F47">
      <w:pPr>
        <w:pStyle w:val="indent-1"/>
        <w:ind w:left="180"/>
      </w:pPr>
      <w:r>
        <w:rPr>
          <w:rStyle w:val="paren"/>
        </w:rPr>
        <w:t>(</w:t>
      </w:r>
      <w:r>
        <w:rPr>
          <w:rStyle w:val="paragraph-hierarchy"/>
        </w:rPr>
        <w:t>c</w:t>
      </w:r>
      <w:r>
        <w:rPr>
          <w:rStyle w:val="paren"/>
        </w:rPr>
        <w:t>)</w:t>
      </w:r>
      <w:r>
        <w:t xml:space="preserve"> No award under this part may be used for telecommunications technology equipment, facilities or services, if such equipment, facilities or services are available pursuant to section 396(k) of the Communications Act of 1934. </w:t>
      </w:r>
    </w:p>
    <w:p w14:paraId="32D2C35C" w14:textId="77777777" w:rsidR="00A23F47" w:rsidRDefault="00A23F47" w:rsidP="00A23F47">
      <w:pPr>
        <w:pStyle w:val="NormalWeb"/>
      </w:pPr>
      <w:r>
        <w:t xml:space="preserve">(Authority: </w:t>
      </w:r>
      <w:hyperlink r:id="rId42" w:tgtFrame="_blank" w:history="1">
        <w:r>
          <w:rPr>
            <w:rStyle w:val="Hyperlink"/>
          </w:rPr>
          <w:t>20 U.S.C. 1062</w:t>
        </w:r>
      </w:hyperlink>
      <w:r>
        <w:t xml:space="preserve">, </w:t>
      </w:r>
      <w:hyperlink r:id="rId43" w:tgtFrame="_blank" w:history="1">
        <w:r>
          <w:rPr>
            <w:rStyle w:val="Hyperlink"/>
          </w:rPr>
          <w:t>1063a</w:t>
        </w:r>
      </w:hyperlink>
      <w:r>
        <w:t xml:space="preserve">, and </w:t>
      </w:r>
      <w:hyperlink r:id="rId44" w:tgtFrame="_blank" w:history="1">
        <w:r>
          <w:rPr>
            <w:rStyle w:val="Hyperlink"/>
          </w:rPr>
          <w:t>1069c</w:t>
        </w:r>
      </w:hyperlink>
      <w:r>
        <w:t>)</w:t>
      </w:r>
    </w:p>
    <w:p w14:paraId="2A44C20F" w14:textId="22797C44" w:rsidR="00340CB3" w:rsidRDefault="00340CB3">
      <w:r>
        <w:br w:type="page"/>
      </w:r>
    </w:p>
    <w:p w14:paraId="215581EA" w14:textId="069C2779" w:rsidR="00340CB3" w:rsidRDefault="00340CB3" w:rsidP="00340CB3">
      <w:pPr>
        <w:pStyle w:val="Heading1"/>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Future</w:t>
      </w:r>
      <w:r>
        <w:rPr>
          <w:rFonts w:ascii="Times New Roman" w:hAnsi="Times New Roman" w:cs="Times New Roman"/>
          <w:b/>
          <w:bCs/>
          <w:color w:val="auto"/>
          <w:sz w:val="28"/>
          <w:szCs w:val="28"/>
        </w:rPr>
        <w:t xml:space="preserve"> Grant</w:t>
      </w:r>
    </w:p>
    <w:p w14:paraId="29A1054F" w14:textId="77777777" w:rsidR="00A23F47" w:rsidRDefault="00A23F47"/>
    <w:sectPr w:rsidR="00A2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708"/>
    <w:multiLevelType w:val="hybridMultilevel"/>
    <w:tmpl w:val="9F04DB98"/>
    <w:lvl w:ilvl="0" w:tplc="A204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C101D"/>
    <w:multiLevelType w:val="hybridMultilevel"/>
    <w:tmpl w:val="C8784B14"/>
    <w:lvl w:ilvl="0" w:tplc="A2040B7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BDB5B0B"/>
    <w:multiLevelType w:val="hybridMultilevel"/>
    <w:tmpl w:val="E640E760"/>
    <w:lvl w:ilvl="0" w:tplc="A2040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904635"/>
    <w:multiLevelType w:val="hybridMultilevel"/>
    <w:tmpl w:val="252C9682"/>
    <w:lvl w:ilvl="0" w:tplc="DC4040C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9AD15F4"/>
    <w:multiLevelType w:val="hybridMultilevel"/>
    <w:tmpl w:val="D2860C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4040A8"/>
    <w:multiLevelType w:val="hybridMultilevel"/>
    <w:tmpl w:val="4BCAF4CA"/>
    <w:lvl w:ilvl="0" w:tplc="A2040B7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6F81031C"/>
    <w:multiLevelType w:val="hybridMultilevel"/>
    <w:tmpl w:val="32704668"/>
    <w:lvl w:ilvl="0" w:tplc="8CB23572">
      <w:start w:val="1"/>
      <w:numFmt w:val="lowerLetter"/>
      <w:lvlText w:val="(%1)"/>
      <w:lvlJc w:val="left"/>
      <w:pPr>
        <w:ind w:left="1800" w:hanging="360"/>
      </w:pPr>
      <w:rPr>
        <w:rFonts w:hint="default"/>
      </w:rPr>
    </w:lvl>
    <w:lvl w:ilvl="1" w:tplc="59383ED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E86CDE"/>
    <w:multiLevelType w:val="hybridMultilevel"/>
    <w:tmpl w:val="B8307C64"/>
    <w:lvl w:ilvl="0" w:tplc="A2040B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B3745F"/>
    <w:multiLevelType w:val="hybridMultilevel"/>
    <w:tmpl w:val="0B30A524"/>
    <w:lvl w:ilvl="0" w:tplc="A204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429307">
    <w:abstractNumId w:val="4"/>
  </w:num>
  <w:num w:numId="2" w16cid:durableId="742991420">
    <w:abstractNumId w:val="8"/>
  </w:num>
  <w:num w:numId="3" w16cid:durableId="604003597">
    <w:abstractNumId w:val="1"/>
  </w:num>
  <w:num w:numId="4" w16cid:durableId="1278292886">
    <w:abstractNumId w:val="2"/>
  </w:num>
  <w:num w:numId="5" w16cid:durableId="2010785741">
    <w:abstractNumId w:val="0"/>
  </w:num>
  <w:num w:numId="6" w16cid:durableId="565991359">
    <w:abstractNumId w:val="5"/>
  </w:num>
  <w:num w:numId="7" w16cid:durableId="1480220409">
    <w:abstractNumId w:val="6"/>
  </w:num>
  <w:num w:numId="8" w16cid:durableId="1861778009">
    <w:abstractNumId w:val="3"/>
  </w:num>
  <w:num w:numId="9" w16cid:durableId="213279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9E"/>
    <w:rsid w:val="00134C7C"/>
    <w:rsid w:val="001A5B21"/>
    <w:rsid w:val="00244654"/>
    <w:rsid w:val="00291B01"/>
    <w:rsid w:val="00340CB3"/>
    <w:rsid w:val="00352ED1"/>
    <w:rsid w:val="003648E4"/>
    <w:rsid w:val="0052509E"/>
    <w:rsid w:val="006812A5"/>
    <w:rsid w:val="006F6616"/>
    <w:rsid w:val="009A79E5"/>
    <w:rsid w:val="00A069A4"/>
    <w:rsid w:val="00A2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153B"/>
  <w15:chartTrackingRefBased/>
  <w15:docId w15:val="{EC1AAC12-791A-453B-BB05-93B24B26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heme="minorBidi"/>
        <w:color w:val="000099"/>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9E5"/>
    <w:rPr>
      <w:rFonts w:cs="Times New Roman"/>
      <w:color w:val="auto"/>
      <w:sz w:val="24"/>
    </w:rPr>
  </w:style>
  <w:style w:type="paragraph" w:styleId="Heading1">
    <w:name w:val="heading 1"/>
    <w:basedOn w:val="Normal"/>
    <w:next w:val="Normal"/>
    <w:link w:val="Heading1Char"/>
    <w:uiPriority w:val="9"/>
    <w:qFormat/>
    <w:rsid w:val="005250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2509E"/>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09E"/>
    <w:rPr>
      <w:rFonts w:eastAsia="Times New Roman" w:cs="Times New Roman"/>
      <w:b/>
      <w:bCs/>
      <w:color w:val="auto"/>
      <w:sz w:val="36"/>
      <w:szCs w:val="36"/>
    </w:rPr>
  </w:style>
  <w:style w:type="character" w:styleId="Hyperlink">
    <w:name w:val="Hyperlink"/>
    <w:basedOn w:val="DefaultParagraphFont"/>
    <w:uiPriority w:val="99"/>
    <w:semiHidden/>
    <w:unhideWhenUsed/>
    <w:rsid w:val="0052509E"/>
    <w:rPr>
      <w:color w:val="0000FF"/>
      <w:u w:val="single"/>
    </w:rPr>
  </w:style>
  <w:style w:type="paragraph" w:customStyle="1" w:styleId="indent-1">
    <w:name w:val="indent-1"/>
    <w:basedOn w:val="Normal"/>
    <w:rsid w:val="0052509E"/>
    <w:pPr>
      <w:spacing w:before="100" w:beforeAutospacing="1" w:after="100" w:afterAutospacing="1"/>
    </w:pPr>
    <w:rPr>
      <w:rFonts w:eastAsia="Times New Roman"/>
      <w:szCs w:val="24"/>
    </w:rPr>
  </w:style>
  <w:style w:type="character" w:customStyle="1" w:styleId="paragraph-hierarchy">
    <w:name w:val="paragraph-hierarchy"/>
    <w:basedOn w:val="DefaultParagraphFont"/>
    <w:rsid w:val="0052509E"/>
  </w:style>
  <w:style w:type="character" w:customStyle="1" w:styleId="paren">
    <w:name w:val="paren"/>
    <w:basedOn w:val="DefaultParagraphFont"/>
    <w:rsid w:val="0052509E"/>
  </w:style>
  <w:style w:type="character" w:styleId="Emphasis">
    <w:name w:val="Emphasis"/>
    <w:basedOn w:val="DefaultParagraphFont"/>
    <w:uiPriority w:val="20"/>
    <w:qFormat/>
    <w:rsid w:val="0052509E"/>
    <w:rPr>
      <w:i/>
      <w:iCs/>
    </w:rPr>
  </w:style>
  <w:style w:type="paragraph" w:customStyle="1" w:styleId="indent-2">
    <w:name w:val="indent-2"/>
    <w:basedOn w:val="Normal"/>
    <w:rsid w:val="0052509E"/>
    <w:pPr>
      <w:spacing w:before="100" w:beforeAutospacing="1" w:after="100" w:afterAutospacing="1"/>
    </w:pPr>
    <w:rPr>
      <w:rFonts w:eastAsia="Times New Roman"/>
      <w:szCs w:val="24"/>
    </w:rPr>
  </w:style>
  <w:style w:type="paragraph" w:styleId="NormalWeb">
    <w:name w:val="Normal (Web)"/>
    <w:basedOn w:val="Normal"/>
    <w:uiPriority w:val="99"/>
    <w:semiHidden/>
    <w:unhideWhenUsed/>
    <w:rsid w:val="0052509E"/>
    <w:pPr>
      <w:spacing w:before="100" w:beforeAutospacing="1" w:after="100" w:afterAutospacing="1"/>
    </w:pPr>
    <w:rPr>
      <w:rFonts w:eastAsia="Times New Roman"/>
      <w:szCs w:val="24"/>
    </w:rPr>
  </w:style>
  <w:style w:type="paragraph" w:customStyle="1" w:styleId="citation">
    <w:name w:val="citation"/>
    <w:basedOn w:val="Normal"/>
    <w:rsid w:val="0052509E"/>
    <w:pPr>
      <w:spacing w:before="100" w:beforeAutospacing="1" w:after="100" w:afterAutospacing="1"/>
    </w:pPr>
    <w:rPr>
      <w:rFonts w:eastAsia="Times New Roman"/>
      <w:szCs w:val="24"/>
    </w:rPr>
  </w:style>
  <w:style w:type="character" w:customStyle="1" w:styleId="Heading1Char">
    <w:name w:val="Heading 1 Char"/>
    <w:basedOn w:val="DefaultParagraphFont"/>
    <w:link w:val="Heading1"/>
    <w:uiPriority w:val="9"/>
    <w:rsid w:val="0052509E"/>
    <w:rPr>
      <w:rFonts w:asciiTheme="majorHAnsi" w:eastAsiaTheme="majorEastAsia" w:hAnsiTheme="majorHAnsi" w:cstheme="majorBidi"/>
      <w:color w:val="2F5496" w:themeColor="accent1" w:themeShade="BF"/>
      <w:sz w:val="32"/>
      <w:szCs w:val="32"/>
    </w:rPr>
  </w:style>
  <w:style w:type="character" w:customStyle="1" w:styleId="inline-header">
    <w:name w:val="inline-header"/>
    <w:basedOn w:val="DefaultParagraphFont"/>
    <w:rsid w:val="0052509E"/>
  </w:style>
  <w:style w:type="character" w:customStyle="1" w:styleId="inline-paragraph">
    <w:name w:val="inline-paragraph"/>
    <w:basedOn w:val="DefaultParagraphFont"/>
    <w:rsid w:val="0052509E"/>
  </w:style>
  <w:style w:type="paragraph" w:styleId="ListParagraph">
    <w:name w:val="List Paragraph"/>
    <w:basedOn w:val="Normal"/>
    <w:uiPriority w:val="34"/>
    <w:qFormat/>
    <w:rsid w:val="0052509E"/>
    <w:pPr>
      <w:ind w:left="720"/>
      <w:contextualSpacing/>
    </w:pPr>
  </w:style>
  <w:style w:type="character" w:styleId="FollowedHyperlink">
    <w:name w:val="FollowedHyperlink"/>
    <w:basedOn w:val="DefaultParagraphFont"/>
    <w:uiPriority w:val="99"/>
    <w:semiHidden/>
    <w:unhideWhenUsed/>
    <w:rsid w:val="00A23F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191918">
      <w:bodyDiv w:val="1"/>
      <w:marLeft w:val="0"/>
      <w:marRight w:val="0"/>
      <w:marTop w:val="0"/>
      <w:marBottom w:val="0"/>
      <w:divBdr>
        <w:top w:val="none" w:sz="0" w:space="0" w:color="auto"/>
        <w:left w:val="none" w:sz="0" w:space="0" w:color="auto"/>
        <w:bottom w:val="none" w:sz="0" w:space="0" w:color="auto"/>
        <w:right w:val="none" w:sz="0" w:space="0" w:color="auto"/>
      </w:divBdr>
      <w:divsChild>
        <w:div w:id="957101677">
          <w:marLeft w:val="0"/>
          <w:marRight w:val="0"/>
          <w:marTop w:val="0"/>
          <w:marBottom w:val="0"/>
          <w:divBdr>
            <w:top w:val="none" w:sz="0" w:space="0" w:color="auto"/>
            <w:left w:val="none" w:sz="0" w:space="0" w:color="auto"/>
            <w:bottom w:val="none" w:sz="0" w:space="0" w:color="auto"/>
            <w:right w:val="none" w:sz="0" w:space="0" w:color="auto"/>
          </w:divBdr>
        </w:div>
      </w:divsChild>
    </w:div>
    <w:div w:id="985352527">
      <w:bodyDiv w:val="1"/>
      <w:marLeft w:val="0"/>
      <w:marRight w:val="0"/>
      <w:marTop w:val="0"/>
      <w:marBottom w:val="0"/>
      <w:divBdr>
        <w:top w:val="none" w:sz="0" w:space="0" w:color="auto"/>
        <w:left w:val="none" w:sz="0" w:space="0" w:color="auto"/>
        <w:bottom w:val="none" w:sz="0" w:space="0" w:color="auto"/>
        <w:right w:val="none" w:sz="0" w:space="0" w:color="auto"/>
      </w:divBdr>
      <w:divsChild>
        <w:div w:id="494610299">
          <w:marLeft w:val="0"/>
          <w:marRight w:val="0"/>
          <w:marTop w:val="0"/>
          <w:marBottom w:val="0"/>
          <w:divBdr>
            <w:top w:val="none" w:sz="0" w:space="0" w:color="auto"/>
            <w:left w:val="none" w:sz="0" w:space="0" w:color="auto"/>
            <w:bottom w:val="none" w:sz="0" w:space="0" w:color="auto"/>
            <w:right w:val="none" w:sz="0" w:space="0" w:color="auto"/>
          </w:divBdr>
          <w:divsChild>
            <w:div w:id="2146772392">
              <w:marLeft w:val="0"/>
              <w:marRight w:val="0"/>
              <w:marTop w:val="0"/>
              <w:marBottom w:val="0"/>
              <w:divBdr>
                <w:top w:val="none" w:sz="0" w:space="0" w:color="auto"/>
                <w:left w:val="none" w:sz="0" w:space="0" w:color="auto"/>
                <w:bottom w:val="none" w:sz="0" w:space="0" w:color="auto"/>
                <w:right w:val="none" w:sz="0" w:space="0" w:color="auto"/>
              </w:divBdr>
              <w:divsChild>
                <w:div w:id="1060908828">
                  <w:marLeft w:val="0"/>
                  <w:marRight w:val="0"/>
                  <w:marTop w:val="0"/>
                  <w:marBottom w:val="0"/>
                  <w:divBdr>
                    <w:top w:val="none" w:sz="0" w:space="0" w:color="auto"/>
                    <w:left w:val="none" w:sz="0" w:space="0" w:color="auto"/>
                    <w:bottom w:val="none" w:sz="0" w:space="0" w:color="auto"/>
                    <w:right w:val="none" w:sz="0" w:space="0" w:color="auto"/>
                  </w:divBdr>
                </w:div>
                <w:div w:id="1715276493">
                  <w:marLeft w:val="0"/>
                  <w:marRight w:val="0"/>
                  <w:marTop w:val="0"/>
                  <w:marBottom w:val="0"/>
                  <w:divBdr>
                    <w:top w:val="none" w:sz="0" w:space="0" w:color="auto"/>
                    <w:left w:val="none" w:sz="0" w:space="0" w:color="auto"/>
                    <w:bottom w:val="none" w:sz="0" w:space="0" w:color="auto"/>
                    <w:right w:val="none" w:sz="0" w:space="0" w:color="auto"/>
                  </w:divBdr>
                </w:div>
                <w:div w:id="1929266095">
                  <w:marLeft w:val="0"/>
                  <w:marRight w:val="0"/>
                  <w:marTop w:val="0"/>
                  <w:marBottom w:val="0"/>
                  <w:divBdr>
                    <w:top w:val="none" w:sz="0" w:space="0" w:color="auto"/>
                    <w:left w:val="none" w:sz="0" w:space="0" w:color="auto"/>
                    <w:bottom w:val="none" w:sz="0" w:space="0" w:color="auto"/>
                    <w:right w:val="none" w:sz="0" w:space="0" w:color="auto"/>
                  </w:divBdr>
                </w:div>
                <w:div w:id="633486300">
                  <w:marLeft w:val="0"/>
                  <w:marRight w:val="0"/>
                  <w:marTop w:val="0"/>
                  <w:marBottom w:val="0"/>
                  <w:divBdr>
                    <w:top w:val="none" w:sz="0" w:space="0" w:color="auto"/>
                    <w:left w:val="none" w:sz="0" w:space="0" w:color="auto"/>
                    <w:bottom w:val="none" w:sz="0" w:space="0" w:color="auto"/>
                    <w:right w:val="none" w:sz="0" w:space="0" w:color="auto"/>
                  </w:divBdr>
                </w:div>
                <w:div w:id="186336672">
                  <w:marLeft w:val="0"/>
                  <w:marRight w:val="0"/>
                  <w:marTop w:val="0"/>
                  <w:marBottom w:val="0"/>
                  <w:divBdr>
                    <w:top w:val="none" w:sz="0" w:space="0" w:color="auto"/>
                    <w:left w:val="none" w:sz="0" w:space="0" w:color="auto"/>
                    <w:bottom w:val="none" w:sz="0" w:space="0" w:color="auto"/>
                    <w:right w:val="none" w:sz="0" w:space="0" w:color="auto"/>
                  </w:divBdr>
                </w:div>
                <w:div w:id="676925505">
                  <w:marLeft w:val="0"/>
                  <w:marRight w:val="0"/>
                  <w:marTop w:val="0"/>
                  <w:marBottom w:val="0"/>
                  <w:divBdr>
                    <w:top w:val="none" w:sz="0" w:space="0" w:color="auto"/>
                    <w:left w:val="none" w:sz="0" w:space="0" w:color="auto"/>
                    <w:bottom w:val="none" w:sz="0" w:space="0" w:color="auto"/>
                    <w:right w:val="none" w:sz="0" w:space="0" w:color="auto"/>
                  </w:divBdr>
                </w:div>
                <w:div w:id="637492179">
                  <w:marLeft w:val="0"/>
                  <w:marRight w:val="0"/>
                  <w:marTop w:val="0"/>
                  <w:marBottom w:val="0"/>
                  <w:divBdr>
                    <w:top w:val="none" w:sz="0" w:space="0" w:color="auto"/>
                    <w:left w:val="none" w:sz="0" w:space="0" w:color="auto"/>
                    <w:bottom w:val="none" w:sz="0" w:space="0" w:color="auto"/>
                    <w:right w:val="none" w:sz="0" w:space="0" w:color="auto"/>
                  </w:divBdr>
                </w:div>
                <w:div w:id="1275554865">
                  <w:marLeft w:val="0"/>
                  <w:marRight w:val="0"/>
                  <w:marTop w:val="0"/>
                  <w:marBottom w:val="0"/>
                  <w:divBdr>
                    <w:top w:val="none" w:sz="0" w:space="0" w:color="auto"/>
                    <w:left w:val="none" w:sz="0" w:space="0" w:color="auto"/>
                    <w:bottom w:val="none" w:sz="0" w:space="0" w:color="auto"/>
                    <w:right w:val="none" w:sz="0" w:space="0" w:color="auto"/>
                  </w:divBdr>
                </w:div>
                <w:div w:id="1084835851">
                  <w:marLeft w:val="0"/>
                  <w:marRight w:val="0"/>
                  <w:marTop w:val="0"/>
                  <w:marBottom w:val="0"/>
                  <w:divBdr>
                    <w:top w:val="none" w:sz="0" w:space="0" w:color="auto"/>
                    <w:left w:val="none" w:sz="0" w:space="0" w:color="auto"/>
                    <w:bottom w:val="none" w:sz="0" w:space="0" w:color="auto"/>
                    <w:right w:val="none" w:sz="0" w:space="0" w:color="auto"/>
                  </w:divBdr>
                </w:div>
                <w:div w:id="1697268001">
                  <w:marLeft w:val="0"/>
                  <w:marRight w:val="0"/>
                  <w:marTop w:val="0"/>
                  <w:marBottom w:val="0"/>
                  <w:divBdr>
                    <w:top w:val="none" w:sz="0" w:space="0" w:color="auto"/>
                    <w:left w:val="none" w:sz="0" w:space="0" w:color="auto"/>
                    <w:bottom w:val="none" w:sz="0" w:space="0" w:color="auto"/>
                    <w:right w:val="none" w:sz="0" w:space="0" w:color="auto"/>
                  </w:divBdr>
                </w:div>
                <w:div w:id="541601109">
                  <w:marLeft w:val="0"/>
                  <w:marRight w:val="0"/>
                  <w:marTop w:val="0"/>
                  <w:marBottom w:val="0"/>
                  <w:divBdr>
                    <w:top w:val="none" w:sz="0" w:space="0" w:color="auto"/>
                    <w:left w:val="none" w:sz="0" w:space="0" w:color="auto"/>
                    <w:bottom w:val="none" w:sz="0" w:space="0" w:color="auto"/>
                    <w:right w:val="none" w:sz="0" w:space="0" w:color="auto"/>
                  </w:divBdr>
                </w:div>
                <w:div w:id="479150755">
                  <w:marLeft w:val="0"/>
                  <w:marRight w:val="0"/>
                  <w:marTop w:val="0"/>
                  <w:marBottom w:val="0"/>
                  <w:divBdr>
                    <w:top w:val="none" w:sz="0" w:space="0" w:color="auto"/>
                    <w:left w:val="none" w:sz="0" w:space="0" w:color="auto"/>
                    <w:bottom w:val="none" w:sz="0" w:space="0" w:color="auto"/>
                    <w:right w:val="none" w:sz="0" w:space="0" w:color="auto"/>
                  </w:divBdr>
                </w:div>
              </w:divsChild>
            </w:div>
            <w:div w:id="415781740">
              <w:marLeft w:val="0"/>
              <w:marRight w:val="0"/>
              <w:marTop w:val="0"/>
              <w:marBottom w:val="0"/>
              <w:divBdr>
                <w:top w:val="none" w:sz="0" w:space="0" w:color="auto"/>
                <w:left w:val="none" w:sz="0" w:space="0" w:color="auto"/>
                <w:bottom w:val="none" w:sz="0" w:space="0" w:color="auto"/>
                <w:right w:val="none" w:sz="0" w:space="0" w:color="auto"/>
              </w:divBdr>
              <w:divsChild>
                <w:div w:id="1031303869">
                  <w:marLeft w:val="0"/>
                  <w:marRight w:val="0"/>
                  <w:marTop w:val="0"/>
                  <w:marBottom w:val="0"/>
                  <w:divBdr>
                    <w:top w:val="none" w:sz="0" w:space="0" w:color="auto"/>
                    <w:left w:val="none" w:sz="0" w:space="0" w:color="auto"/>
                    <w:bottom w:val="none" w:sz="0" w:space="0" w:color="auto"/>
                    <w:right w:val="none" w:sz="0" w:space="0" w:color="auto"/>
                  </w:divBdr>
                </w:div>
                <w:div w:id="1646156376">
                  <w:marLeft w:val="0"/>
                  <w:marRight w:val="0"/>
                  <w:marTop w:val="0"/>
                  <w:marBottom w:val="0"/>
                  <w:divBdr>
                    <w:top w:val="none" w:sz="0" w:space="0" w:color="auto"/>
                    <w:left w:val="none" w:sz="0" w:space="0" w:color="auto"/>
                    <w:bottom w:val="none" w:sz="0" w:space="0" w:color="auto"/>
                    <w:right w:val="none" w:sz="0" w:space="0" w:color="auto"/>
                  </w:divBdr>
                </w:div>
                <w:div w:id="1990746909">
                  <w:marLeft w:val="0"/>
                  <w:marRight w:val="0"/>
                  <w:marTop w:val="0"/>
                  <w:marBottom w:val="0"/>
                  <w:divBdr>
                    <w:top w:val="none" w:sz="0" w:space="0" w:color="auto"/>
                    <w:left w:val="none" w:sz="0" w:space="0" w:color="auto"/>
                    <w:bottom w:val="none" w:sz="0" w:space="0" w:color="auto"/>
                    <w:right w:val="none" w:sz="0" w:space="0" w:color="auto"/>
                  </w:divBdr>
                </w:div>
                <w:div w:id="51512241">
                  <w:marLeft w:val="0"/>
                  <w:marRight w:val="0"/>
                  <w:marTop w:val="0"/>
                  <w:marBottom w:val="0"/>
                  <w:divBdr>
                    <w:top w:val="none" w:sz="0" w:space="0" w:color="auto"/>
                    <w:left w:val="none" w:sz="0" w:space="0" w:color="auto"/>
                    <w:bottom w:val="none" w:sz="0" w:space="0" w:color="auto"/>
                    <w:right w:val="none" w:sz="0" w:space="0" w:color="auto"/>
                  </w:divBdr>
                </w:div>
                <w:div w:id="575359367">
                  <w:marLeft w:val="0"/>
                  <w:marRight w:val="0"/>
                  <w:marTop w:val="0"/>
                  <w:marBottom w:val="0"/>
                  <w:divBdr>
                    <w:top w:val="none" w:sz="0" w:space="0" w:color="auto"/>
                    <w:left w:val="none" w:sz="0" w:space="0" w:color="auto"/>
                    <w:bottom w:val="none" w:sz="0" w:space="0" w:color="auto"/>
                    <w:right w:val="none" w:sz="0" w:space="0" w:color="auto"/>
                  </w:divBdr>
                </w:div>
                <w:div w:id="1433739730">
                  <w:marLeft w:val="0"/>
                  <w:marRight w:val="0"/>
                  <w:marTop w:val="0"/>
                  <w:marBottom w:val="0"/>
                  <w:divBdr>
                    <w:top w:val="none" w:sz="0" w:space="0" w:color="auto"/>
                    <w:left w:val="none" w:sz="0" w:space="0" w:color="auto"/>
                    <w:bottom w:val="none" w:sz="0" w:space="0" w:color="auto"/>
                    <w:right w:val="none" w:sz="0" w:space="0" w:color="auto"/>
                  </w:divBdr>
                </w:div>
              </w:divsChild>
            </w:div>
            <w:div w:id="164903396">
              <w:marLeft w:val="0"/>
              <w:marRight w:val="0"/>
              <w:marTop w:val="0"/>
              <w:marBottom w:val="0"/>
              <w:divBdr>
                <w:top w:val="none" w:sz="0" w:space="0" w:color="auto"/>
                <w:left w:val="none" w:sz="0" w:space="0" w:color="auto"/>
                <w:bottom w:val="none" w:sz="0" w:space="0" w:color="auto"/>
                <w:right w:val="none" w:sz="0" w:space="0" w:color="auto"/>
              </w:divBdr>
            </w:div>
            <w:div w:id="631061156">
              <w:marLeft w:val="0"/>
              <w:marRight w:val="0"/>
              <w:marTop w:val="0"/>
              <w:marBottom w:val="0"/>
              <w:divBdr>
                <w:top w:val="none" w:sz="0" w:space="0" w:color="auto"/>
                <w:left w:val="none" w:sz="0" w:space="0" w:color="auto"/>
                <w:bottom w:val="none" w:sz="0" w:space="0" w:color="auto"/>
                <w:right w:val="none" w:sz="0" w:space="0" w:color="auto"/>
              </w:divBdr>
              <w:divsChild>
                <w:div w:id="73283975">
                  <w:marLeft w:val="0"/>
                  <w:marRight w:val="0"/>
                  <w:marTop w:val="0"/>
                  <w:marBottom w:val="0"/>
                  <w:divBdr>
                    <w:top w:val="none" w:sz="0" w:space="0" w:color="auto"/>
                    <w:left w:val="none" w:sz="0" w:space="0" w:color="auto"/>
                    <w:bottom w:val="none" w:sz="0" w:space="0" w:color="auto"/>
                    <w:right w:val="none" w:sz="0" w:space="0" w:color="auto"/>
                  </w:divBdr>
                </w:div>
                <w:div w:id="189731640">
                  <w:marLeft w:val="0"/>
                  <w:marRight w:val="0"/>
                  <w:marTop w:val="0"/>
                  <w:marBottom w:val="0"/>
                  <w:divBdr>
                    <w:top w:val="none" w:sz="0" w:space="0" w:color="auto"/>
                    <w:left w:val="none" w:sz="0" w:space="0" w:color="auto"/>
                    <w:bottom w:val="none" w:sz="0" w:space="0" w:color="auto"/>
                    <w:right w:val="none" w:sz="0" w:space="0" w:color="auto"/>
                  </w:divBdr>
                </w:div>
                <w:div w:id="1481267090">
                  <w:marLeft w:val="0"/>
                  <w:marRight w:val="0"/>
                  <w:marTop w:val="0"/>
                  <w:marBottom w:val="0"/>
                  <w:divBdr>
                    <w:top w:val="none" w:sz="0" w:space="0" w:color="auto"/>
                    <w:left w:val="none" w:sz="0" w:space="0" w:color="auto"/>
                    <w:bottom w:val="none" w:sz="0" w:space="0" w:color="auto"/>
                    <w:right w:val="none" w:sz="0" w:space="0" w:color="auto"/>
                  </w:divBdr>
                </w:div>
              </w:divsChild>
            </w:div>
            <w:div w:id="8157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548">
      <w:bodyDiv w:val="1"/>
      <w:marLeft w:val="0"/>
      <w:marRight w:val="0"/>
      <w:marTop w:val="0"/>
      <w:marBottom w:val="0"/>
      <w:divBdr>
        <w:top w:val="none" w:sz="0" w:space="0" w:color="auto"/>
        <w:left w:val="none" w:sz="0" w:space="0" w:color="auto"/>
        <w:bottom w:val="none" w:sz="0" w:space="0" w:color="auto"/>
        <w:right w:val="none" w:sz="0" w:space="0" w:color="auto"/>
      </w:divBdr>
      <w:divsChild>
        <w:div w:id="646513154">
          <w:marLeft w:val="0"/>
          <w:marRight w:val="0"/>
          <w:marTop w:val="0"/>
          <w:marBottom w:val="0"/>
          <w:divBdr>
            <w:top w:val="none" w:sz="0" w:space="0" w:color="auto"/>
            <w:left w:val="none" w:sz="0" w:space="0" w:color="auto"/>
            <w:bottom w:val="none" w:sz="0" w:space="0" w:color="auto"/>
            <w:right w:val="none" w:sz="0" w:space="0" w:color="auto"/>
          </w:divBdr>
        </w:div>
        <w:div w:id="2143306415">
          <w:marLeft w:val="0"/>
          <w:marRight w:val="0"/>
          <w:marTop w:val="0"/>
          <w:marBottom w:val="0"/>
          <w:divBdr>
            <w:top w:val="none" w:sz="0" w:space="0" w:color="auto"/>
            <w:left w:val="none" w:sz="0" w:space="0" w:color="auto"/>
            <w:bottom w:val="none" w:sz="0" w:space="0" w:color="auto"/>
            <w:right w:val="none" w:sz="0" w:space="0" w:color="auto"/>
          </w:divBdr>
        </w:div>
      </w:divsChild>
    </w:div>
    <w:div w:id="1781992786">
      <w:bodyDiv w:val="1"/>
      <w:marLeft w:val="0"/>
      <w:marRight w:val="0"/>
      <w:marTop w:val="0"/>
      <w:marBottom w:val="0"/>
      <w:divBdr>
        <w:top w:val="none" w:sz="0" w:space="0" w:color="auto"/>
        <w:left w:val="none" w:sz="0" w:space="0" w:color="auto"/>
        <w:bottom w:val="none" w:sz="0" w:space="0" w:color="auto"/>
        <w:right w:val="none" w:sz="0" w:space="0" w:color="auto"/>
      </w:divBdr>
      <w:divsChild>
        <w:div w:id="38015109">
          <w:marLeft w:val="0"/>
          <w:marRight w:val="0"/>
          <w:marTop w:val="0"/>
          <w:marBottom w:val="0"/>
          <w:divBdr>
            <w:top w:val="none" w:sz="0" w:space="0" w:color="auto"/>
            <w:left w:val="none" w:sz="0" w:space="0" w:color="auto"/>
            <w:bottom w:val="none" w:sz="0" w:space="0" w:color="auto"/>
            <w:right w:val="none" w:sz="0" w:space="0" w:color="auto"/>
          </w:divBdr>
          <w:divsChild>
            <w:div w:id="333386572">
              <w:marLeft w:val="0"/>
              <w:marRight w:val="0"/>
              <w:marTop w:val="0"/>
              <w:marBottom w:val="0"/>
              <w:divBdr>
                <w:top w:val="none" w:sz="0" w:space="0" w:color="auto"/>
                <w:left w:val="none" w:sz="0" w:space="0" w:color="auto"/>
                <w:bottom w:val="none" w:sz="0" w:space="0" w:color="auto"/>
                <w:right w:val="none" w:sz="0" w:space="0" w:color="auto"/>
              </w:divBdr>
            </w:div>
            <w:div w:id="1404597905">
              <w:marLeft w:val="0"/>
              <w:marRight w:val="0"/>
              <w:marTop w:val="0"/>
              <w:marBottom w:val="0"/>
              <w:divBdr>
                <w:top w:val="none" w:sz="0" w:space="0" w:color="auto"/>
                <w:left w:val="none" w:sz="0" w:space="0" w:color="auto"/>
                <w:bottom w:val="none" w:sz="0" w:space="0" w:color="auto"/>
                <w:right w:val="none" w:sz="0" w:space="0" w:color="auto"/>
              </w:divBdr>
            </w:div>
            <w:div w:id="1330719903">
              <w:marLeft w:val="0"/>
              <w:marRight w:val="0"/>
              <w:marTop w:val="0"/>
              <w:marBottom w:val="0"/>
              <w:divBdr>
                <w:top w:val="none" w:sz="0" w:space="0" w:color="auto"/>
                <w:left w:val="none" w:sz="0" w:space="0" w:color="auto"/>
                <w:bottom w:val="none" w:sz="0" w:space="0" w:color="auto"/>
                <w:right w:val="none" w:sz="0" w:space="0" w:color="auto"/>
              </w:divBdr>
            </w:div>
            <w:div w:id="1870484464">
              <w:marLeft w:val="0"/>
              <w:marRight w:val="0"/>
              <w:marTop w:val="0"/>
              <w:marBottom w:val="0"/>
              <w:divBdr>
                <w:top w:val="none" w:sz="0" w:space="0" w:color="auto"/>
                <w:left w:val="none" w:sz="0" w:space="0" w:color="auto"/>
                <w:bottom w:val="none" w:sz="0" w:space="0" w:color="auto"/>
                <w:right w:val="none" w:sz="0" w:space="0" w:color="auto"/>
              </w:divBdr>
            </w:div>
            <w:div w:id="1160004886">
              <w:marLeft w:val="0"/>
              <w:marRight w:val="0"/>
              <w:marTop w:val="0"/>
              <w:marBottom w:val="0"/>
              <w:divBdr>
                <w:top w:val="none" w:sz="0" w:space="0" w:color="auto"/>
                <w:left w:val="none" w:sz="0" w:space="0" w:color="auto"/>
                <w:bottom w:val="none" w:sz="0" w:space="0" w:color="auto"/>
                <w:right w:val="none" w:sz="0" w:space="0" w:color="auto"/>
              </w:divBdr>
            </w:div>
            <w:div w:id="135220773">
              <w:marLeft w:val="0"/>
              <w:marRight w:val="0"/>
              <w:marTop w:val="0"/>
              <w:marBottom w:val="0"/>
              <w:divBdr>
                <w:top w:val="none" w:sz="0" w:space="0" w:color="auto"/>
                <w:left w:val="none" w:sz="0" w:space="0" w:color="auto"/>
                <w:bottom w:val="none" w:sz="0" w:space="0" w:color="auto"/>
                <w:right w:val="none" w:sz="0" w:space="0" w:color="auto"/>
              </w:divBdr>
            </w:div>
            <w:div w:id="268195859">
              <w:marLeft w:val="0"/>
              <w:marRight w:val="0"/>
              <w:marTop w:val="0"/>
              <w:marBottom w:val="0"/>
              <w:divBdr>
                <w:top w:val="none" w:sz="0" w:space="0" w:color="auto"/>
                <w:left w:val="none" w:sz="0" w:space="0" w:color="auto"/>
                <w:bottom w:val="none" w:sz="0" w:space="0" w:color="auto"/>
                <w:right w:val="none" w:sz="0" w:space="0" w:color="auto"/>
              </w:divBdr>
            </w:div>
            <w:div w:id="2039430725">
              <w:marLeft w:val="0"/>
              <w:marRight w:val="0"/>
              <w:marTop w:val="0"/>
              <w:marBottom w:val="0"/>
              <w:divBdr>
                <w:top w:val="none" w:sz="0" w:space="0" w:color="auto"/>
                <w:left w:val="none" w:sz="0" w:space="0" w:color="auto"/>
                <w:bottom w:val="none" w:sz="0" w:space="0" w:color="auto"/>
                <w:right w:val="none" w:sz="0" w:space="0" w:color="auto"/>
              </w:divBdr>
            </w:div>
            <w:div w:id="1744646082">
              <w:marLeft w:val="0"/>
              <w:marRight w:val="0"/>
              <w:marTop w:val="0"/>
              <w:marBottom w:val="0"/>
              <w:divBdr>
                <w:top w:val="none" w:sz="0" w:space="0" w:color="auto"/>
                <w:left w:val="none" w:sz="0" w:space="0" w:color="auto"/>
                <w:bottom w:val="none" w:sz="0" w:space="0" w:color="auto"/>
                <w:right w:val="none" w:sz="0" w:space="0" w:color="auto"/>
              </w:divBdr>
            </w:div>
            <w:div w:id="681854035">
              <w:marLeft w:val="0"/>
              <w:marRight w:val="0"/>
              <w:marTop w:val="0"/>
              <w:marBottom w:val="0"/>
              <w:divBdr>
                <w:top w:val="none" w:sz="0" w:space="0" w:color="auto"/>
                <w:left w:val="none" w:sz="0" w:space="0" w:color="auto"/>
                <w:bottom w:val="none" w:sz="0" w:space="0" w:color="auto"/>
                <w:right w:val="none" w:sz="0" w:space="0" w:color="auto"/>
              </w:divBdr>
            </w:div>
            <w:div w:id="1194228792">
              <w:marLeft w:val="0"/>
              <w:marRight w:val="0"/>
              <w:marTop w:val="0"/>
              <w:marBottom w:val="0"/>
              <w:divBdr>
                <w:top w:val="none" w:sz="0" w:space="0" w:color="auto"/>
                <w:left w:val="none" w:sz="0" w:space="0" w:color="auto"/>
                <w:bottom w:val="none" w:sz="0" w:space="0" w:color="auto"/>
                <w:right w:val="none" w:sz="0" w:space="0" w:color="auto"/>
              </w:divBdr>
            </w:div>
            <w:div w:id="452014777">
              <w:marLeft w:val="0"/>
              <w:marRight w:val="0"/>
              <w:marTop w:val="0"/>
              <w:marBottom w:val="0"/>
              <w:divBdr>
                <w:top w:val="none" w:sz="0" w:space="0" w:color="auto"/>
                <w:left w:val="none" w:sz="0" w:space="0" w:color="auto"/>
                <w:bottom w:val="none" w:sz="0" w:space="0" w:color="auto"/>
                <w:right w:val="none" w:sz="0" w:space="0" w:color="auto"/>
              </w:divBdr>
            </w:div>
            <w:div w:id="2141612386">
              <w:marLeft w:val="0"/>
              <w:marRight w:val="0"/>
              <w:marTop w:val="0"/>
              <w:marBottom w:val="0"/>
              <w:divBdr>
                <w:top w:val="none" w:sz="0" w:space="0" w:color="auto"/>
                <w:left w:val="none" w:sz="0" w:space="0" w:color="auto"/>
                <w:bottom w:val="none" w:sz="0" w:space="0" w:color="auto"/>
                <w:right w:val="none" w:sz="0" w:space="0" w:color="auto"/>
              </w:divBdr>
            </w:div>
            <w:div w:id="1974827787">
              <w:marLeft w:val="0"/>
              <w:marRight w:val="0"/>
              <w:marTop w:val="0"/>
              <w:marBottom w:val="0"/>
              <w:divBdr>
                <w:top w:val="none" w:sz="0" w:space="0" w:color="auto"/>
                <w:left w:val="none" w:sz="0" w:space="0" w:color="auto"/>
                <w:bottom w:val="none" w:sz="0" w:space="0" w:color="auto"/>
                <w:right w:val="none" w:sz="0" w:space="0" w:color="auto"/>
              </w:divBdr>
            </w:div>
          </w:divsChild>
        </w:div>
        <w:div w:id="581764184">
          <w:marLeft w:val="0"/>
          <w:marRight w:val="0"/>
          <w:marTop w:val="0"/>
          <w:marBottom w:val="0"/>
          <w:divBdr>
            <w:top w:val="none" w:sz="0" w:space="0" w:color="auto"/>
            <w:left w:val="none" w:sz="0" w:space="0" w:color="auto"/>
            <w:bottom w:val="none" w:sz="0" w:space="0" w:color="auto"/>
            <w:right w:val="none" w:sz="0" w:space="0" w:color="auto"/>
          </w:divBdr>
          <w:divsChild>
            <w:div w:id="1233277996">
              <w:marLeft w:val="0"/>
              <w:marRight w:val="0"/>
              <w:marTop w:val="0"/>
              <w:marBottom w:val="0"/>
              <w:divBdr>
                <w:top w:val="none" w:sz="0" w:space="0" w:color="auto"/>
                <w:left w:val="none" w:sz="0" w:space="0" w:color="auto"/>
                <w:bottom w:val="none" w:sz="0" w:space="0" w:color="auto"/>
                <w:right w:val="none" w:sz="0" w:space="0" w:color="auto"/>
              </w:divBdr>
            </w:div>
            <w:div w:id="1122117193">
              <w:marLeft w:val="0"/>
              <w:marRight w:val="0"/>
              <w:marTop w:val="0"/>
              <w:marBottom w:val="0"/>
              <w:divBdr>
                <w:top w:val="none" w:sz="0" w:space="0" w:color="auto"/>
                <w:left w:val="none" w:sz="0" w:space="0" w:color="auto"/>
                <w:bottom w:val="none" w:sz="0" w:space="0" w:color="auto"/>
                <w:right w:val="none" w:sz="0" w:space="0" w:color="auto"/>
              </w:divBdr>
            </w:div>
            <w:div w:id="1418163305">
              <w:marLeft w:val="0"/>
              <w:marRight w:val="0"/>
              <w:marTop w:val="0"/>
              <w:marBottom w:val="0"/>
              <w:divBdr>
                <w:top w:val="none" w:sz="0" w:space="0" w:color="auto"/>
                <w:left w:val="none" w:sz="0" w:space="0" w:color="auto"/>
                <w:bottom w:val="none" w:sz="0" w:space="0" w:color="auto"/>
                <w:right w:val="none" w:sz="0" w:space="0" w:color="auto"/>
              </w:divBdr>
            </w:div>
            <w:div w:id="2027441531">
              <w:marLeft w:val="0"/>
              <w:marRight w:val="0"/>
              <w:marTop w:val="0"/>
              <w:marBottom w:val="0"/>
              <w:divBdr>
                <w:top w:val="none" w:sz="0" w:space="0" w:color="auto"/>
                <w:left w:val="none" w:sz="0" w:space="0" w:color="auto"/>
                <w:bottom w:val="none" w:sz="0" w:space="0" w:color="auto"/>
                <w:right w:val="none" w:sz="0" w:space="0" w:color="auto"/>
              </w:divBdr>
            </w:div>
            <w:div w:id="23135973">
              <w:marLeft w:val="0"/>
              <w:marRight w:val="0"/>
              <w:marTop w:val="0"/>
              <w:marBottom w:val="0"/>
              <w:divBdr>
                <w:top w:val="none" w:sz="0" w:space="0" w:color="auto"/>
                <w:left w:val="none" w:sz="0" w:space="0" w:color="auto"/>
                <w:bottom w:val="none" w:sz="0" w:space="0" w:color="auto"/>
                <w:right w:val="none" w:sz="0" w:space="0" w:color="auto"/>
              </w:divBdr>
            </w:div>
            <w:div w:id="2125034678">
              <w:marLeft w:val="0"/>
              <w:marRight w:val="0"/>
              <w:marTop w:val="0"/>
              <w:marBottom w:val="0"/>
              <w:divBdr>
                <w:top w:val="none" w:sz="0" w:space="0" w:color="auto"/>
                <w:left w:val="none" w:sz="0" w:space="0" w:color="auto"/>
                <w:bottom w:val="none" w:sz="0" w:space="0" w:color="auto"/>
                <w:right w:val="none" w:sz="0" w:space="0" w:color="auto"/>
              </w:divBdr>
            </w:div>
          </w:divsChild>
        </w:div>
        <w:div w:id="989594250">
          <w:marLeft w:val="0"/>
          <w:marRight w:val="0"/>
          <w:marTop w:val="0"/>
          <w:marBottom w:val="0"/>
          <w:divBdr>
            <w:top w:val="none" w:sz="0" w:space="0" w:color="auto"/>
            <w:left w:val="none" w:sz="0" w:space="0" w:color="auto"/>
            <w:bottom w:val="none" w:sz="0" w:space="0" w:color="auto"/>
            <w:right w:val="none" w:sz="0" w:space="0" w:color="auto"/>
          </w:divBdr>
        </w:div>
        <w:div w:id="212607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34/section-628.3" TargetMode="External"/><Relationship Id="rId18" Type="http://schemas.openxmlformats.org/officeDocument/2006/relationships/hyperlink" Target="https://www.ecfr.gov/current/title-34/section-628.6" TargetMode="External"/><Relationship Id="rId26" Type="http://schemas.openxmlformats.org/officeDocument/2006/relationships/hyperlink" Target="https://www.govinfo.gov/link/uscode/20/1062" TargetMode="External"/><Relationship Id="rId39" Type="http://schemas.openxmlformats.org/officeDocument/2006/relationships/hyperlink" Target="https://www.ecfr.gov/current/title-34/section-609.10" TargetMode="External"/><Relationship Id="rId21" Type="http://schemas.openxmlformats.org/officeDocument/2006/relationships/hyperlink" Target="https://www.ecfr.gov/current/title-34/section-628.41" TargetMode="External"/><Relationship Id="rId34" Type="http://schemas.openxmlformats.org/officeDocument/2006/relationships/hyperlink" Target="https://www.govinfo.gov/link/uscode/20/1063c" TargetMode="External"/><Relationship Id="rId42" Type="http://schemas.openxmlformats.org/officeDocument/2006/relationships/hyperlink" Target="https://www.govinfo.gov/link/uscode/20/1062" TargetMode="External"/><Relationship Id="rId7" Type="http://schemas.openxmlformats.org/officeDocument/2006/relationships/hyperlink" Target="https://www.govinfo.gov/link/uscode/20/1063c" TargetMode="External"/><Relationship Id="rId2" Type="http://schemas.openxmlformats.org/officeDocument/2006/relationships/styles" Target="styles.xml"/><Relationship Id="rId16" Type="http://schemas.openxmlformats.org/officeDocument/2006/relationships/hyperlink" Target="https://www.ecfr.gov/current/title-34/section-628.41" TargetMode="External"/><Relationship Id="rId29" Type="http://schemas.openxmlformats.org/officeDocument/2006/relationships/hyperlink" Target="https://www.federalregister.gov/citation/58-FR-38713" TargetMode="External"/><Relationship Id="rId1" Type="http://schemas.openxmlformats.org/officeDocument/2006/relationships/numbering" Target="numbering.xml"/><Relationship Id="rId6" Type="http://schemas.openxmlformats.org/officeDocument/2006/relationships/hyperlink" Target="https://www.govinfo.gov/link/uscode/20/1060" TargetMode="External"/><Relationship Id="rId11" Type="http://schemas.openxmlformats.org/officeDocument/2006/relationships/hyperlink" Target="https://www.ecfr.gov/current/title-34/section-608.10" TargetMode="External"/><Relationship Id="rId24" Type="http://schemas.openxmlformats.org/officeDocument/2006/relationships/hyperlink" Target="https://www.ecfr.gov/current/title-34/section-628.41" TargetMode="External"/><Relationship Id="rId32" Type="http://schemas.openxmlformats.org/officeDocument/2006/relationships/hyperlink" Target="https://www.ecfr.gov/current/title-34/part-609" TargetMode="External"/><Relationship Id="rId37" Type="http://schemas.openxmlformats.org/officeDocument/2006/relationships/hyperlink" Target="https://www.federalregister.gov/citation/59-FR-38717" TargetMode="External"/><Relationship Id="rId40" Type="http://schemas.openxmlformats.org/officeDocument/2006/relationships/hyperlink" Target="https://www.ecfr.gov/current/title-34/part-628" TargetMode="External"/><Relationship Id="rId45" Type="http://schemas.openxmlformats.org/officeDocument/2006/relationships/fontTable" Target="fontTable.xml"/><Relationship Id="rId5" Type="http://schemas.openxmlformats.org/officeDocument/2006/relationships/hyperlink" Target="https://www.ecfr.gov/current/title-34/part-608" TargetMode="External"/><Relationship Id="rId15" Type="http://schemas.openxmlformats.org/officeDocument/2006/relationships/hyperlink" Target="https://www.ecfr.gov/current/title-34/section-628.10" TargetMode="External"/><Relationship Id="rId23" Type="http://schemas.openxmlformats.org/officeDocument/2006/relationships/hyperlink" Target="https://www.ecfr.gov/current/title-34/section-628.41" TargetMode="External"/><Relationship Id="rId28" Type="http://schemas.openxmlformats.org/officeDocument/2006/relationships/hyperlink" Target="https://www.govinfo.gov/link/uscode/20/1069c" TargetMode="External"/><Relationship Id="rId36" Type="http://schemas.openxmlformats.org/officeDocument/2006/relationships/hyperlink" Target="https://www.govinfo.gov/link/uscode/20/1068h" TargetMode="External"/><Relationship Id="rId10" Type="http://schemas.openxmlformats.org/officeDocument/2006/relationships/hyperlink" Target="https://www.ecfr.gov/current/title-34/section-608.10" TargetMode="External"/><Relationship Id="rId19" Type="http://schemas.openxmlformats.org/officeDocument/2006/relationships/hyperlink" Target="https://www.ecfr.gov/current/title-34/section-608.10" TargetMode="External"/><Relationship Id="rId31" Type="http://schemas.openxmlformats.org/officeDocument/2006/relationships/hyperlink" Target="https://www.federalregister.gov/citation/85-FR-59981" TargetMode="External"/><Relationship Id="rId44" Type="http://schemas.openxmlformats.org/officeDocument/2006/relationships/hyperlink" Target="https://www.govinfo.gov/link/uscode/20/1069c" TargetMode="External"/><Relationship Id="rId4" Type="http://schemas.openxmlformats.org/officeDocument/2006/relationships/webSettings" Target="webSettings.xml"/><Relationship Id="rId9" Type="http://schemas.openxmlformats.org/officeDocument/2006/relationships/hyperlink" Target="https://www.govinfo.gov/link/uscode/20/1068h" TargetMode="External"/><Relationship Id="rId14" Type="http://schemas.openxmlformats.org/officeDocument/2006/relationships/hyperlink" Target="https://www.ecfr.gov/current/title-34/section-628.6" TargetMode="External"/><Relationship Id="rId22" Type="http://schemas.openxmlformats.org/officeDocument/2006/relationships/hyperlink" Target="https://www.ecfr.gov/current/title-34/section-628.41" TargetMode="External"/><Relationship Id="rId27" Type="http://schemas.openxmlformats.org/officeDocument/2006/relationships/hyperlink" Target="https://www.govinfo.gov/link/uscode/20/1063a" TargetMode="External"/><Relationship Id="rId30" Type="http://schemas.openxmlformats.org/officeDocument/2006/relationships/hyperlink" Target="https://www.federalregister.gov/citation/65-FR-79311" TargetMode="External"/><Relationship Id="rId35" Type="http://schemas.openxmlformats.org/officeDocument/2006/relationships/hyperlink" Target="https://www.govinfo.gov/link/uscode/20/1068" TargetMode="External"/><Relationship Id="rId43" Type="http://schemas.openxmlformats.org/officeDocument/2006/relationships/hyperlink" Target="https://www.govinfo.gov/link/uscode/20/1063a" TargetMode="External"/><Relationship Id="rId8" Type="http://schemas.openxmlformats.org/officeDocument/2006/relationships/hyperlink" Target="https://www.govinfo.gov/link/uscode/20/1068" TargetMode="External"/><Relationship Id="rId3" Type="http://schemas.openxmlformats.org/officeDocument/2006/relationships/settings" Target="settings.xml"/><Relationship Id="rId12" Type="http://schemas.openxmlformats.org/officeDocument/2006/relationships/hyperlink" Target="https://www.ecfr.gov/current/title-34/section-608.10" TargetMode="External"/><Relationship Id="rId17" Type="http://schemas.openxmlformats.org/officeDocument/2006/relationships/hyperlink" Target="https://www.ecfr.gov/current/title-34/section-628.47" TargetMode="External"/><Relationship Id="rId25" Type="http://schemas.openxmlformats.org/officeDocument/2006/relationships/hyperlink" Target="https://www.ecfr.gov/current/title-34/section-628.41" TargetMode="External"/><Relationship Id="rId33" Type="http://schemas.openxmlformats.org/officeDocument/2006/relationships/hyperlink" Target="https://www.govinfo.gov/link/uscode/20/1060" TargetMode="External"/><Relationship Id="rId38" Type="http://schemas.openxmlformats.org/officeDocument/2006/relationships/hyperlink" Target="https://www.ecfr.gov/current/title-34/section-609.10" TargetMode="External"/><Relationship Id="rId46" Type="http://schemas.openxmlformats.org/officeDocument/2006/relationships/theme" Target="theme/theme1.xml"/><Relationship Id="rId20" Type="http://schemas.openxmlformats.org/officeDocument/2006/relationships/hyperlink" Target="https://www.ecfr.gov/current/title-34/section-628.10" TargetMode="External"/><Relationship Id="rId41" Type="http://schemas.openxmlformats.org/officeDocument/2006/relationships/hyperlink" Target="https://www.ecfr.gov/current/title-34/section-6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Wendy</dc:creator>
  <cp:keywords/>
  <dc:description/>
  <cp:lastModifiedBy>Tyler, Andrea</cp:lastModifiedBy>
  <cp:revision>3</cp:revision>
  <dcterms:created xsi:type="dcterms:W3CDTF">2022-03-14T19:06:00Z</dcterms:created>
  <dcterms:modified xsi:type="dcterms:W3CDTF">2024-08-10T21:46:00Z</dcterms:modified>
</cp:coreProperties>
</file>