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D16" w:rsidRDefault="00D05D16"/>
    <w:p w:rsidR="00D05D16" w:rsidRPr="005C59C7" w:rsidRDefault="00D05D16">
      <w:pPr>
        <w:rPr>
          <w:b/>
          <w:sz w:val="40"/>
          <w:szCs w:val="40"/>
        </w:rPr>
      </w:pPr>
      <w:r w:rsidRPr="005C59C7">
        <w:rPr>
          <w:b/>
          <w:sz w:val="40"/>
          <w:szCs w:val="40"/>
        </w:rPr>
        <w:t>Fall Semester</w:t>
      </w:r>
    </w:p>
    <w:p w:rsidR="00D05D16" w:rsidRPr="005C59C7" w:rsidRDefault="00D05D16" w:rsidP="00D05D16">
      <w:pPr>
        <w:pStyle w:val="cdb"/>
        <w:ind w:left="-288" w:right="-288"/>
        <w:rPr>
          <w:rFonts w:ascii="Arial" w:hAnsi="Arial" w:cs="Arial"/>
          <w:sz w:val="18"/>
          <w:szCs w:val="18"/>
        </w:rPr>
      </w:pPr>
      <w:r w:rsidRPr="005C59C7">
        <w:rPr>
          <w:rFonts w:ascii="Arial" w:hAnsi="Arial" w:cs="Arial"/>
          <w:sz w:val="18"/>
          <w:szCs w:val="18"/>
        </w:rPr>
        <w:t xml:space="preserve">SOWK 3601 Ethnic and Minority Concerns in Social Work (2). </w:t>
      </w:r>
      <w:r w:rsidRPr="005C59C7">
        <w:rPr>
          <w:rFonts w:ascii="Arial" w:hAnsi="Arial" w:cs="Arial"/>
          <w:b w:val="0"/>
          <w:sz w:val="18"/>
          <w:szCs w:val="18"/>
        </w:rPr>
        <w:t>A course designed to emphasize the general method of social work practice with ethnic minorities, with a focus on the diverse community and the issues of multiculturalism. Prerequisite: admission to upper division.</w:t>
      </w:r>
    </w:p>
    <w:p w:rsidR="00D05D16" w:rsidRPr="005C59C7" w:rsidRDefault="00D05D16">
      <w:pPr>
        <w:rPr>
          <w:sz w:val="18"/>
          <w:szCs w:val="18"/>
        </w:rPr>
      </w:pPr>
    </w:p>
    <w:p w:rsidR="00D05D16" w:rsidRPr="005C59C7" w:rsidRDefault="00D05D16" w:rsidP="00D05D16">
      <w:pPr>
        <w:pStyle w:val="cdb"/>
        <w:ind w:left="-288" w:right="-288"/>
        <w:rPr>
          <w:rFonts w:ascii="Arial" w:hAnsi="Arial" w:cs="Arial"/>
          <w:b w:val="0"/>
          <w:sz w:val="18"/>
          <w:szCs w:val="18"/>
        </w:rPr>
      </w:pPr>
      <w:r w:rsidRPr="005C59C7">
        <w:rPr>
          <w:rFonts w:ascii="Arial" w:hAnsi="Arial" w:cs="Arial"/>
          <w:sz w:val="18"/>
          <w:szCs w:val="18"/>
        </w:rPr>
        <w:t>SOWK 4401 Child Welfare I: Introduction to Programs, Policies and Practice (2).</w:t>
      </w:r>
      <w:r w:rsidRPr="005C59C7">
        <w:rPr>
          <w:rFonts w:ascii="Arial" w:hAnsi="Arial" w:cs="Arial"/>
          <w:b w:val="0"/>
          <w:sz w:val="18"/>
          <w:szCs w:val="18"/>
        </w:rPr>
        <w:t xml:space="preserve"> This course is the first in a series of two child welfare courses offered as part of the TN Child Welfare Certification Program. The course introduces students to knowledge of Child maltreatment and the juvenile justice system. It provides an overview of the child welfare system describing the history, policies and programs, both state and federal, pertinent to child maltreatment and juvenile offenders to intervene with families in crisis. It is intended to provide a foundation in the knowledge and values necessary for professional child welfare practice and prepare students for the second course in the series, Child Welfare II: Skills for Solutions and Permanency for Children and Families. Prerequisite: admission to upper division.</w:t>
      </w:r>
    </w:p>
    <w:p w:rsidR="00D05D16" w:rsidRPr="005C59C7" w:rsidRDefault="00D05D16" w:rsidP="00D05D16">
      <w:pPr>
        <w:pStyle w:val="cdb"/>
        <w:ind w:left="-288" w:right="-288"/>
        <w:rPr>
          <w:rFonts w:ascii="Arial" w:hAnsi="Arial" w:cs="Arial"/>
          <w:sz w:val="18"/>
          <w:szCs w:val="18"/>
        </w:rPr>
      </w:pPr>
    </w:p>
    <w:p w:rsidR="00D05D16" w:rsidRPr="005C59C7" w:rsidRDefault="00D05D16" w:rsidP="00D05D16">
      <w:pPr>
        <w:pStyle w:val="cdb"/>
        <w:ind w:left="-288" w:right="-288"/>
        <w:rPr>
          <w:rFonts w:ascii="Arial" w:hAnsi="Arial" w:cs="Arial"/>
          <w:b w:val="0"/>
          <w:sz w:val="18"/>
          <w:szCs w:val="18"/>
        </w:rPr>
      </w:pPr>
      <w:r w:rsidRPr="005C59C7">
        <w:rPr>
          <w:rFonts w:ascii="Arial" w:hAnsi="Arial" w:cs="Arial"/>
          <w:sz w:val="18"/>
          <w:szCs w:val="18"/>
        </w:rPr>
        <w:t xml:space="preserve">SOWK 4700 </w:t>
      </w:r>
      <w:proofErr w:type="spellStart"/>
      <w:r w:rsidRPr="005C59C7">
        <w:rPr>
          <w:rFonts w:ascii="Arial" w:hAnsi="Arial" w:cs="Arial"/>
          <w:sz w:val="18"/>
          <w:szCs w:val="18"/>
        </w:rPr>
        <w:t>Gerontological</w:t>
      </w:r>
      <w:proofErr w:type="spellEnd"/>
      <w:r w:rsidRPr="005C59C7">
        <w:rPr>
          <w:rFonts w:ascii="Arial" w:hAnsi="Arial" w:cs="Arial"/>
          <w:sz w:val="18"/>
          <w:szCs w:val="18"/>
        </w:rPr>
        <w:t xml:space="preserve"> Social Work (3). </w:t>
      </w:r>
      <w:r w:rsidRPr="005C59C7">
        <w:rPr>
          <w:rFonts w:ascii="Arial" w:hAnsi="Arial" w:cs="Arial"/>
          <w:b w:val="0"/>
          <w:sz w:val="18"/>
          <w:szCs w:val="18"/>
        </w:rPr>
        <w:t>A course designed to examine the aging process and its impact upon the individual, the family, and society. Emphasis is placed on the physical, psychological, and sociological aspects of aging. An interdisciplinary approach is used in dealing with these aspects to enhance and enrich the understanding of the life process. Prerequisite: admission to upper division.</w:t>
      </w:r>
    </w:p>
    <w:p w:rsidR="00D05D16" w:rsidRDefault="00D05D16"/>
    <w:p w:rsidR="00D05D16" w:rsidRPr="005C59C7" w:rsidRDefault="00D05D16">
      <w:pPr>
        <w:rPr>
          <w:b/>
          <w:sz w:val="40"/>
          <w:szCs w:val="40"/>
        </w:rPr>
      </w:pPr>
      <w:r w:rsidRPr="005C59C7">
        <w:rPr>
          <w:b/>
          <w:sz w:val="40"/>
          <w:szCs w:val="40"/>
        </w:rPr>
        <w:t>SPRING SEMESTER</w:t>
      </w:r>
    </w:p>
    <w:p w:rsidR="00D05D16" w:rsidRPr="005C59C7" w:rsidRDefault="00D05D16" w:rsidP="00D05D16">
      <w:pPr>
        <w:pStyle w:val="cdb"/>
        <w:ind w:left="-288" w:right="-288"/>
        <w:rPr>
          <w:rFonts w:ascii="Arial" w:hAnsi="Arial" w:cs="Arial"/>
          <w:b w:val="0"/>
          <w:sz w:val="18"/>
          <w:szCs w:val="18"/>
        </w:rPr>
      </w:pPr>
      <w:r w:rsidRPr="005C59C7">
        <w:rPr>
          <w:rFonts w:ascii="Arial" w:hAnsi="Arial" w:cs="Arial"/>
          <w:sz w:val="18"/>
          <w:szCs w:val="18"/>
        </w:rPr>
        <w:t>SOWK 4000 Social Work Interventi</w:t>
      </w:r>
      <w:bookmarkStart w:id="0" w:name="_GoBack"/>
      <w:bookmarkEnd w:id="0"/>
      <w:r w:rsidRPr="005C59C7">
        <w:rPr>
          <w:rFonts w:ascii="Arial" w:hAnsi="Arial" w:cs="Arial"/>
          <w:sz w:val="18"/>
          <w:szCs w:val="18"/>
        </w:rPr>
        <w:t xml:space="preserve">on in Health (2). </w:t>
      </w:r>
      <w:r w:rsidRPr="005C59C7">
        <w:rPr>
          <w:rFonts w:ascii="Arial" w:hAnsi="Arial" w:cs="Arial"/>
          <w:b w:val="0"/>
          <w:sz w:val="18"/>
          <w:szCs w:val="18"/>
        </w:rPr>
        <w:t>A course designed to acquaint the student with the symptoms, etiology, and physical and emotional aspects of acute and chronic diseases, illnesses, and disabilities, with the development of comprehensive medicine involving the whole person in his or her milieu. Emphasis is placed on acquiring knowledge regarding social aspects of illness, as well as use of community resources for the continuation of preventive methods. One hour per week is devoted to participatory observation at a health-related agency. Prerequisite: admission to upper division.</w:t>
      </w:r>
    </w:p>
    <w:p w:rsidR="00D05D16" w:rsidRPr="005C59C7" w:rsidRDefault="00D05D16">
      <w:pPr>
        <w:rPr>
          <w:sz w:val="18"/>
          <w:szCs w:val="18"/>
        </w:rPr>
      </w:pPr>
    </w:p>
    <w:p w:rsidR="00D05D16" w:rsidRPr="005C59C7" w:rsidRDefault="00D05D16" w:rsidP="00D05D16">
      <w:pPr>
        <w:pStyle w:val="cdb"/>
        <w:ind w:left="-288" w:right="-288"/>
        <w:rPr>
          <w:rFonts w:ascii="Arial" w:hAnsi="Arial" w:cs="Arial"/>
          <w:b w:val="0"/>
          <w:sz w:val="18"/>
          <w:szCs w:val="18"/>
        </w:rPr>
      </w:pPr>
      <w:r w:rsidRPr="005C59C7">
        <w:rPr>
          <w:rFonts w:ascii="Arial" w:hAnsi="Arial" w:cs="Arial"/>
          <w:sz w:val="18"/>
          <w:szCs w:val="18"/>
        </w:rPr>
        <w:t>SOWK 4461 Child Welfare II: Skills for Solutions and Permanency for Children and Families (3)</w:t>
      </w:r>
      <w:r w:rsidRPr="005C59C7">
        <w:rPr>
          <w:rFonts w:ascii="Arial" w:hAnsi="Arial" w:cs="Arial"/>
          <w:b w:val="0"/>
          <w:sz w:val="18"/>
          <w:szCs w:val="18"/>
        </w:rPr>
        <w:t>. This course is the second in a series of two child welfare courses offered as part of the TN Child Welfare Certification Program. It is designed to assist students in acquiring the practice skills to become culturally competent child welfare workers. The course will analyze the practices of various human/social services agencies that provide preventive case management, out of home care, treatment, and rehabilitative services aimed at children and youth. The role of social services in the broad context of formal and informal systems that influence the life course of the child will be addressed. Students will be prepared to practice in the child welfare field by teaching them about the various contexts in which child welfare practice takes place and the skills and modalities that are used with children, youth, and families who are the focus of child welfare intervention. Particular emphasis will be placed on the services, and the juvenile justice system; and working with multicultural populations including consumers of different ages, races, cultures, socioeconomic status and sexual orientations. The course will also address critical frameworks for resolving ethical dilemmas, preparing students to resolve ethical issues confronted by social workers. Prerequisites: Child Welfare I.</w:t>
      </w:r>
    </w:p>
    <w:p w:rsidR="00D05D16" w:rsidRDefault="00D05D16"/>
    <w:p w:rsidR="00D05D16" w:rsidRPr="005C59C7" w:rsidRDefault="00D05D16">
      <w:pPr>
        <w:rPr>
          <w:b/>
          <w:sz w:val="40"/>
          <w:szCs w:val="40"/>
        </w:rPr>
      </w:pPr>
      <w:r w:rsidRPr="005C59C7">
        <w:rPr>
          <w:b/>
          <w:sz w:val="40"/>
          <w:szCs w:val="40"/>
        </w:rPr>
        <w:t>SUMMER</w:t>
      </w:r>
    </w:p>
    <w:p w:rsidR="00D05D16" w:rsidRPr="005C59C7" w:rsidRDefault="00D05D16" w:rsidP="00D05D16">
      <w:pPr>
        <w:pStyle w:val="cdb"/>
        <w:ind w:left="-288" w:right="-288"/>
        <w:rPr>
          <w:rFonts w:ascii="Arial" w:hAnsi="Arial" w:cs="Arial"/>
          <w:b w:val="0"/>
          <w:sz w:val="18"/>
          <w:szCs w:val="18"/>
        </w:rPr>
      </w:pPr>
      <w:r w:rsidRPr="005C59C7">
        <w:rPr>
          <w:rFonts w:ascii="Arial" w:hAnsi="Arial" w:cs="Arial"/>
          <w:sz w:val="18"/>
          <w:szCs w:val="18"/>
        </w:rPr>
        <w:t xml:space="preserve">(M) SOWK 4950, Social Work Readings and Research (3). </w:t>
      </w:r>
      <w:r w:rsidRPr="005C59C7">
        <w:rPr>
          <w:rFonts w:ascii="Arial" w:hAnsi="Arial" w:cs="Arial"/>
          <w:b w:val="0"/>
          <w:sz w:val="18"/>
          <w:szCs w:val="18"/>
        </w:rPr>
        <w:t>Independent study and research under faculty guidance for students who desire to do special projects. Prerequisites: junior or senior standing and permission of instructor. Enrollment limited to Social Work majors only.</w:t>
      </w:r>
    </w:p>
    <w:p w:rsidR="00D05D16" w:rsidRDefault="00D05D16" w:rsidP="00D05D16">
      <w:pPr>
        <w:ind w:left="-288" w:right="-288"/>
        <w:rPr>
          <w:rFonts w:ascii="Times New Roman" w:hAnsi="Times New Roman" w:cs="Times New Roman"/>
        </w:rPr>
      </w:pPr>
    </w:p>
    <w:p w:rsidR="00D05D16" w:rsidRDefault="00D05D16" w:rsidP="00D05D16"/>
    <w:sectPr w:rsidR="00D05D1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195" w:rsidRDefault="00A07195" w:rsidP="00D05D16">
      <w:pPr>
        <w:spacing w:after="0" w:line="240" w:lineRule="auto"/>
      </w:pPr>
      <w:r>
        <w:separator/>
      </w:r>
    </w:p>
  </w:endnote>
  <w:endnote w:type="continuationSeparator" w:id="0">
    <w:p w:rsidR="00A07195" w:rsidRDefault="00A07195" w:rsidP="00D0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195" w:rsidRDefault="00A07195" w:rsidP="00D05D16">
      <w:pPr>
        <w:spacing w:after="0" w:line="240" w:lineRule="auto"/>
      </w:pPr>
      <w:r>
        <w:separator/>
      </w:r>
    </w:p>
  </w:footnote>
  <w:footnote w:type="continuationSeparator" w:id="0">
    <w:p w:rsidR="00A07195" w:rsidRDefault="00A07195" w:rsidP="00D05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D05D16" w:rsidRDefault="00D05D16">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C59C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59C7">
          <w:rPr>
            <w:b/>
            <w:bCs/>
            <w:noProof/>
          </w:rPr>
          <w:t>1</w:t>
        </w:r>
        <w:r>
          <w:rPr>
            <w:b/>
            <w:bCs/>
            <w:sz w:val="24"/>
            <w:szCs w:val="24"/>
          </w:rPr>
          <w:fldChar w:fldCharType="end"/>
        </w:r>
      </w:p>
    </w:sdtContent>
  </w:sdt>
  <w:p w:rsidR="00D05D16" w:rsidRDefault="00D05D16" w:rsidP="00D05D16">
    <w:r>
      <w:t>2014-11-07</w:t>
    </w:r>
    <w:r>
      <w:tab/>
    </w:r>
    <w:r>
      <w:tab/>
      <w:t>Social Work Electives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16"/>
    <w:rsid w:val="005C59C7"/>
    <w:rsid w:val="00A07195"/>
    <w:rsid w:val="00D05D16"/>
    <w:rsid w:val="00D13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FEC24-BB58-4477-8440-5916B787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b">
    <w:name w:val="cdb"/>
    <w:basedOn w:val="Normal"/>
    <w:next w:val="Normal"/>
    <w:rsid w:val="00D05D16"/>
    <w:pPr>
      <w:widowControl w:val="0"/>
      <w:autoSpaceDE w:val="0"/>
      <w:autoSpaceDN w:val="0"/>
      <w:adjustRightInd w:val="0"/>
      <w:spacing w:before="140" w:after="0" w:line="180" w:lineRule="atLeast"/>
      <w:jc w:val="both"/>
    </w:pPr>
    <w:rPr>
      <w:rFonts w:ascii="Helvetica" w:eastAsia="Times New Roman" w:hAnsi="Helvetica" w:cs="Times New Roman"/>
      <w:b/>
      <w:sz w:val="16"/>
      <w:szCs w:val="20"/>
    </w:rPr>
  </w:style>
  <w:style w:type="paragraph" w:styleId="Header">
    <w:name w:val="header"/>
    <w:basedOn w:val="Normal"/>
    <w:link w:val="HeaderChar"/>
    <w:uiPriority w:val="99"/>
    <w:unhideWhenUsed/>
    <w:rsid w:val="00D05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D16"/>
  </w:style>
  <w:style w:type="paragraph" w:styleId="Footer">
    <w:name w:val="footer"/>
    <w:basedOn w:val="Normal"/>
    <w:link w:val="FooterChar"/>
    <w:uiPriority w:val="99"/>
    <w:unhideWhenUsed/>
    <w:rsid w:val="00D05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1126">
      <w:bodyDiv w:val="1"/>
      <w:marLeft w:val="0"/>
      <w:marRight w:val="0"/>
      <w:marTop w:val="0"/>
      <w:marBottom w:val="0"/>
      <w:divBdr>
        <w:top w:val="none" w:sz="0" w:space="0" w:color="auto"/>
        <w:left w:val="none" w:sz="0" w:space="0" w:color="auto"/>
        <w:bottom w:val="none" w:sz="0" w:space="0" w:color="auto"/>
        <w:right w:val="none" w:sz="0" w:space="0" w:color="auto"/>
      </w:divBdr>
    </w:div>
    <w:div w:id="177274898">
      <w:bodyDiv w:val="1"/>
      <w:marLeft w:val="0"/>
      <w:marRight w:val="0"/>
      <w:marTop w:val="0"/>
      <w:marBottom w:val="0"/>
      <w:divBdr>
        <w:top w:val="none" w:sz="0" w:space="0" w:color="auto"/>
        <w:left w:val="none" w:sz="0" w:space="0" w:color="auto"/>
        <w:bottom w:val="none" w:sz="0" w:space="0" w:color="auto"/>
        <w:right w:val="none" w:sz="0" w:space="0" w:color="auto"/>
      </w:divBdr>
    </w:div>
    <w:div w:id="357701073">
      <w:bodyDiv w:val="1"/>
      <w:marLeft w:val="0"/>
      <w:marRight w:val="0"/>
      <w:marTop w:val="0"/>
      <w:marBottom w:val="0"/>
      <w:divBdr>
        <w:top w:val="none" w:sz="0" w:space="0" w:color="auto"/>
        <w:left w:val="none" w:sz="0" w:space="0" w:color="auto"/>
        <w:bottom w:val="none" w:sz="0" w:space="0" w:color="auto"/>
        <w:right w:val="none" w:sz="0" w:space="0" w:color="auto"/>
      </w:divBdr>
    </w:div>
    <w:div w:id="559291136">
      <w:bodyDiv w:val="1"/>
      <w:marLeft w:val="0"/>
      <w:marRight w:val="0"/>
      <w:marTop w:val="0"/>
      <w:marBottom w:val="0"/>
      <w:divBdr>
        <w:top w:val="none" w:sz="0" w:space="0" w:color="auto"/>
        <w:left w:val="none" w:sz="0" w:space="0" w:color="auto"/>
        <w:bottom w:val="none" w:sz="0" w:space="0" w:color="auto"/>
        <w:right w:val="none" w:sz="0" w:space="0" w:color="auto"/>
      </w:divBdr>
    </w:div>
    <w:div w:id="1560508178">
      <w:bodyDiv w:val="1"/>
      <w:marLeft w:val="0"/>
      <w:marRight w:val="0"/>
      <w:marTop w:val="0"/>
      <w:marBottom w:val="0"/>
      <w:divBdr>
        <w:top w:val="none" w:sz="0" w:space="0" w:color="auto"/>
        <w:left w:val="none" w:sz="0" w:space="0" w:color="auto"/>
        <w:bottom w:val="none" w:sz="0" w:space="0" w:color="auto"/>
        <w:right w:val="none" w:sz="0" w:space="0" w:color="auto"/>
      </w:divBdr>
    </w:div>
    <w:div w:id="1874227029">
      <w:bodyDiv w:val="1"/>
      <w:marLeft w:val="0"/>
      <w:marRight w:val="0"/>
      <w:marTop w:val="0"/>
      <w:marBottom w:val="0"/>
      <w:divBdr>
        <w:top w:val="none" w:sz="0" w:space="0" w:color="auto"/>
        <w:left w:val="none" w:sz="0" w:space="0" w:color="auto"/>
        <w:bottom w:val="none" w:sz="0" w:space="0" w:color="auto"/>
        <w:right w:val="none" w:sz="0" w:space="0" w:color="auto"/>
      </w:divBdr>
    </w:div>
    <w:div w:id="202273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Michael</dc:creator>
  <cp:keywords/>
  <dc:description/>
  <cp:lastModifiedBy>Wright, Michael</cp:lastModifiedBy>
  <cp:revision>2</cp:revision>
  <dcterms:created xsi:type="dcterms:W3CDTF">2014-11-07T17:51:00Z</dcterms:created>
  <dcterms:modified xsi:type="dcterms:W3CDTF">2014-11-07T17:56:00Z</dcterms:modified>
</cp:coreProperties>
</file>