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D1FE" w14:textId="77777777" w:rsidR="00F72D01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36"/>
          <w:szCs w:val="36"/>
        </w:rPr>
      </w:pPr>
      <w:r>
        <w:rPr>
          <w:rFonts w:ascii="TimesNewRomanPS" w:hAnsi="TimesNewRomanPS"/>
          <w:b/>
          <w:bCs/>
          <w:sz w:val="36"/>
          <w:szCs w:val="36"/>
        </w:rPr>
        <w:t xml:space="preserve">TONYA HOBBS, LAPSW </w:t>
      </w:r>
    </w:p>
    <w:p w14:paraId="1D3B2D8A" w14:textId="77777777" w:rsidR="00EE6A15" w:rsidRDefault="00EE6A15" w:rsidP="00F8639B">
      <w:pPr>
        <w:pStyle w:val="NormalWeb"/>
        <w:spacing w:before="0" w:beforeAutospacing="0" w:after="0" w:afterAutospacing="0"/>
        <w:rPr>
          <w:rFonts w:ascii="TimesNewRomanPS" w:hAnsi="TimesNewRomanPS"/>
          <w:sz w:val="28"/>
          <w:szCs w:val="28"/>
        </w:rPr>
      </w:pPr>
      <w:r>
        <w:rPr>
          <w:rFonts w:ascii="TimesNewRomanPS" w:hAnsi="TimesNewRomanPS"/>
          <w:sz w:val="28"/>
          <w:szCs w:val="28"/>
        </w:rPr>
        <w:t>PO Box 10156</w:t>
      </w:r>
    </w:p>
    <w:p w14:paraId="4E78EC31" w14:textId="75F6EEFC" w:rsid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sz w:val="28"/>
          <w:szCs w:val="28"/>
        </w:rPr>
      </w:pPr>
      <w:r w:rsidRPr="00F8639B">
        <w:rPr>
          <w:rFonts w:ascii="TimesNewRomanPS" w:hAnsi="TimesNewRomanPS" w:hint="eastAsia"/>
          <w:sz w:val="28"/>
          <w:szCs w:val="28"/>
        </w:rPr>
        <w:t xml:space="preserve">Murfreesboro, TN 37129 </w:t>
      </w:r>
    </w:p>
    <w:p w14:paraId="69D453DB" w14:textId="14A67D20" w:rsid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sz w:val="28"/>
          <w:szCs w:val="28"/>
        </w:rPr>
      </w:pPr>
      <w:r w:rsidRPr="00F8639B">
        <w:rPr>
          <w:rFonts w:ascii="TimesNewRomanPS" w:hAnsi="TimesNewRomanPS" w:hint="eastAsia"/>
          <w:sz w:val="28"/>
          <w:szCs w:val="28"/>
        </w:rPr>
        <w:t>615-594-</w:t>
      </w:r>
      <w:r w:rsidR="00EE6A15">
        <w:rPr>
          <w:rFonts w:ascii="TimesNewRomanPS" w:hAnsi="TimesNewRomanPS"/>
          <w:sz w:val="28"/>
          <w:szCs w:val="28"/>
        </w:rPr>
        <w:t>1522</w:t>
      </w:r>
    </w:p>
    <w:p w14:paraId="521AFBF5" w14:textId="251DF5AB" w:rsidR="00EE6A15" w:rsidRDefault="00EE6A15" w:rsidP="00F8639B">
      <w:pPr>
        <w:pStyle w:val="NormalWeb"/>
        <w:spacing w:before="0" w:beforeAutospacing="0" w:after="0" w:afterAutospacing="0"/>
        <w:rPr>
          <w:rFonts w:ascii="TimesNewRomanPS" w:hAnsi="TimesNewRomanPS"/>
          <w:sz w:val="28"/>
          <w:szCs w:val="28"/>
        </w:rPr>
      </w:pPr>
      <w:r>
        <w:rPr>
          <w:rFonts w:ascii="TimesNewRomanPS" w:hAnsi="TimesNewRomanPS"/>
          <w:sz w:val="28"/>
          <w:szCs w:val="28"/>
        </w:rPr>
        <w:t>tonyahobbslapsw@gmail.com</w:t>
      </w:r>
    </w:p>
    <w:p w14:paraId="11A1EA61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</w:pP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  <w:r w:rsidRPr="00F8639B">
        <w:rPr>
          <w:rFonts w:ascii="TimesNewRomanPS" w:hAnsi="TimesNewRomanPS"/>
          <w:color w:val="7F7F7F" w:themeColor="text1" w:themeTint="80"/>
          <w:sz w:val="28"/>
          <w:szCs w:val="28"/>
          <w:u w:val="single"/>
        </w:rPr>
        <w:tab/>
      </w:r>
    </w:p>
    <w:p w14:paraId="0BA93B59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b/>
          <w:bCs/>
        </w:rPr>
        <w:t xml:space="preserve">EDUCATION: </w:t>
      </w:r>
    </w:p>
    <w:p w14:paraId="765669F8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>MSW – Spalding University, Louisville KY</w:t>
      </w:r>
      <w:r w:rsidRPr="00F8639B">
        <w:rPr>
          <w:rFonts w:ascii="TimesNewRomanPS" w:hAnsi="TimesNewRomanPS"/>
        </w:rPr>
        <w:tab/>
      </w:r>
      <w:r w:rsidRPr="00F8639B">
        <w:rPr>
          <w:rFonts w:ascii="TimesNewRomanPS" w:hAnsi="TimesNewRomanPS"/>
        </w:rPr>
        <w:tab/>
      </w:r>
      <w:r w:rsidRPr="00F8639B">
        <w:rPr>
          <w:rFonts w:ascii="TimesNewRomanPS" w:hAnsi="TimesNewRomanPS"/>
        </w:rPr>
        <w:tab/>
      </w:r>
      <w:r w:rsidRPr="00F8639B"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 w:rsidRPr="00F8639B">
        <w:rPr>
          <w:rFonts w:ascii="TimesNewRomanPS" w:hAnsi="TimesNewRomanPS"/>
        </w:rPr>
        <w:t>May 2006</w:t>
      </w:r>
      <w:r w:rsidRPr="00F8639B">
        <w:rPr>
          <w:rFonts w:ascii="TimesNewRomanPS" w:hAnsi="TimesNewRomanPS" w:hint="eastAsia"/>
        </w:rPr>
        <w:br/>
        <w:t xml:space="preserve">BSW – Middle Tennessee State University, Murfreesboro TN </w:t>
      </w:r>
      <w:r w:rsidRPr="00F8639B"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 w:rsidRPr="00F8639B">
        <w:rPr>
          <w:rFonts w:ascii="TimesNewRomanPS" w:hAnsi="TimesNewRomanPS"/>
        </w:rPr>
        <w:t>May 2004</w:t>
      </w:r>
    </w:p>
    <w:p w14:paraId="6C2C487A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color w:val="7F7F7F" w:themeColor="text1" w:themeTint="80"/>
          <w:u w:val="single"/>
        </w:rPr>
      </w:pP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</w:p>
    <w:p w14:paraId="79E5540C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b/>
          <w:bCs/>
        </w:rPr>
        <w:t xml:space="preserve">RESEARCH INTERESTS: </w:t>
      </w:r>
    </w:p>
    <w:p w14:paraId="6DD64791" w14:textId="77777777" w:rsid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Investigations to improve organizational and governmental policies around compassion fatigue and secondary traumatic stress mitigation and prevention for front-line human services workers. </w:t>
      </w:r>
    </w:p>
    <w:p w14:paraId="50848594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color w:val="7F7F7F" w:themeColor="text1" w:themeTint="80"/>
          <w:u w:val="single"/>
        </w:rPr>
      </w:pP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</w:p>
    <w:p w14:paraId="07055B02" w14:textId="77777777" w:rsid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TEACHING EXPERIENCE</w:t>
      </w:r>
      <w:r w:rsidRPr="00F8639B">
        <w:rPr>
          <w:rFonts w:ascii="TimesNewRomanPS" w:hAnsi="TimesNewRomanPS"/>
          <w:b/>
          <w:bCs/>
        </w:rPr>
        <w:t xml:space="preserve">: </w:t>
      </w:r>
    </w:p>
    <w:p w14:paraId="08B2F7D3" w14:textId="77777777" w:rsidR="00EE6A15" w:rsidRDefault="00EE6A15" w:rsidP="00EE6A15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412BBDF5" w14:textId="65B0BE62" w:rsidR="00EE6A15" w:rsidRDefault="00EE6A15" w:rsidP="00EE6A15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>Lecturer, Department of Social Work</w:t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  <w:t>2022-Present</w:t>
      </w:r>
    </w:p>
    <w:p w14:paraId="515A9A89" w14:textId="6F0747B3" w:rsidR="00EE6A15" w:rsidRPr="00F8639B" w:rsidRDefault="00EE6A15" w:rsidP="00EE6A15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>Tennessee State University</w:t>
      </w:r>
    </w:p>
    <w:p w14:paraId="12B59CCD" w14:textId="5C4D1FD1" w:rsidR="00EE6A15" w:rsidRDefault="00EE6A15" w:rsidP="00EE6A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>Serve as Field Coordinator.</w:t>
      </w:r>
    </w:p>
    <w:p w14:paraId="1BE75A81" w14:textId="62347D3E" w:rsidR="00EE6A15" w:rsidRPr="00F8639B" w:rsidRDefault="00EE6A15" w:rsidP="00EE6A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Prepare lectures and class activities for undergraduate social work </w:t>
      </w:r>
      <w:r>
        <w:rPr>
          <w:rFonts w:ascii="TimesNewRomanPS" w:hAnsi="TimesNewRomanPS"/>
        </w:rPr>
        <w:t>courses</w:t>
      </w:r>
      <w:r w:rsidRPr="00F8639B">
        <w:rPr>
          <w:rFonts w:ascii="TimesNewRomanPS" w:hAnsi="TimesNewRomanPS" w:hint="eastAsia"/>
        </w:rPr>
        <w:t xml:space="preserve">. </w:t>
      </w:r>
    </w:p>
    <w:p w14:paraId="1587CD73" w14:textId="77777777" w:rsidR="00EE6A15" w:rsidRPr="00F8639B" w:rsidRDefault="00EE6A15" w:rsidP="00EE6A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Evaluate course assignments to ensure students understand course content. </w:t>
      </w:r>
    </w:p>
    <w:p w14:paraId="15E16C4D" w14:textId="77777777" w:rsidR="00EE6A15" w:rsidRPr="00F8639B" w:rsidRDefault="00EE6A15" w:rsidP="00EE6A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>Work collaboratively wit</w:t>
      </w:r>
      <w:r>
        <w:rPr>
          <w:rFonts w:ascii="TimesNewRomanPS" w:hAnsi="TimesNewRomanPS"/>
        </w:rPr>
        <w:t xml:space="preserve">hin the department </w:t>
      </w:r>
      <w:r w:rsidRPr="00F8639B">
        <w:rPr>
          <w:rFonts w:ascii="TimesNewRomanPS" w:hAnsi="TimesNewRomanPS" w:hint="eastAsia"/>
        </w:rPr>
        <w:t xml:space="preserve">to update course materials and </w:t>
      </w:r>
    </w:p>
    <w:p w14:paraId="4A595221" w14:textId="11393031" w:rsidR="00EE6A15" w:rsidRDefault="00EE6A15" w:rsidP="00EE6A15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 w:rsidRPr="00F8639B">
        <w:rPr>
          <w:rFonts w:ascii="TimesNewRomanPS" w:hAnsi="TimesNewRomanPS" w:hint="eastAsia"/>
        </w:rPr>
        <w:t>content.</w:t>
      </w:r>
    </w:p>
    <w:p w14:paraId="0B1ACA20" w14:textId="77777777" w:rsidR="00EE6A15" w:rsidRDefault="00EE6A15" w:rsidP="00EE6A15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4CA71B76" w14:textId="7C8AD11C" w:rsidR="00EE6A15" w:rsidRDefault="00EE6A15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>Lecturer, Department of Social Work</w:t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  <w:t>2019-2022</w:t>
      </w:r>
    </w:p>
    <w:p w14:paraId="36E3CA13" w14:textId="4D4AE103" w:rsid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>Adjunct Faculty, Department of Social Work</w:t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  <w:t>2012-2019</w:t>
      </w:r>
    </w:p>
    <w:p w14:paraId="5BCC1531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>Middle Tennessee State University</w:t>
      </w:r>
    </w:p>
    <w:p w14:paraId="3F55CDEB" w14:textId="571F7C73" w:rsidR="00F8639B" w:rsidRPr="00F8639B" w:rsidRDefault="00F8639B" w:rsidP="00F863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>Prepare</w:t>
      </w:r>
      <w:r w:rsidR="00EE6A15">
        <w:rPr>
          <w:rFonts w:ascii="TimesNewRomanPS" w:hAnsi="TimesNewRomanPS"/>
        </w:rPr>
        <w:t>d</w:t>
      </w:r>
      <w:r w:rsidRPr="00F8639B">
        <w:rPr>
          <w:rFonts w:ascii="TimesNewRomanPS" w:hAnsi="TimesNewRomanPS" w:hint="eastAsia"/>
        </w:rPr>
        <w:t xml:space="preserve"> lectures and class activities for undergraduate social work c</w:t>
      </w:r>
      <w:r w:rsidR="00EE6A15">
        <w:rPr>
          <w:rFonts w:ascii="TimesNewRomanPS" w:hAnsi="TimesNewRomanPS"/>
        </w:rPr>
        <w:t>ourses</w:t>
      </w:r>
      <w:r w:rsidRPr="00F8639B">
        <w:rPr>
          <w:rFonts w:ascii="TimesNewRomanPS" w:hAnsi="TimesNewRomanPS" w:hint="eastAsia"/>
        </w:rPr>
        <w:t xml:space="preserve"> </w:t>
      </w:r>
      <w:r w:rsidR="00203586">
        <w:rPr>
          <w:rFonts w:ascii="TimesNewRomanPS" w:hAnsi="TimesNewRomanPS"/>
        </w:rPr>
        <w:t xml:space="preserve">across the curriculum </w:t>
      </w:r>
      <w:r w:rsidRPr="00F8639B">
        <w:rPr>
          <w:rFonts w:ascii="TimesNewRomanPS" w:hAnsi="TimesNewRomanPS" w:hint="eastAsia"/>
        </w:rPr>
        <w:t xml:space="preserve">including HBSE I, </w:t>
      </w:r>
      <w:r>
        <w:rPr>
          <w:rFonts w:ascii="TimesNewRomanPS" w:hAnsi="TimesNewRomanPS"/>
        </w:rPr>
        <w:t>HBSE II, Interviewing Skills, Social Policy, Introduction to Social Work, Social Work with Groups,</w:t>
      </w:r>
      <w:r w:rsidRPr="00F8639B">
        <w:rPr>
          <w:rFonts w:ascii="TimesNewRomanPS" w:hAnsi="TimesNewRomanPS" w:hint="eastAsia"/>
        </w:rPr>
        <w:t xml:space="preserve"> and Field</w:t>
      </w:r>
      <w:r>
        <w:rPr>
          <w:rFonts w:ascii="TimesNewRomanPS" w:hAnsi="TimesNewRomanPS"/>
        </w:rPr>
        <w:t xml:space="preserve"> I and II</w:t>
      </w:r>
      <w:r w:rsidRPr="00F8639B">
        <w:rPr>
          <w:rFonts w:ascii="TimesNewRomanPS" w:hAnsi="TimesNewRomanPS" w:hint="eastAsia"/>
        </w:rPr>
        <w:t xml:space="preserve">. </w:t>
      </w:r>
    </w:p>
    <w:p w14:paraId="59C99765" w14:textId="36A22942" w:rsidR="00F8639B" w:rsidRPr="00F8639B" w:rsidRDefault="00F8639B" w:rsidP="00F863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>Evaluate</w:t>
      </w:r>
      <w:r w:rsidR="00EE6A15">
        <w:rPr>
          <w:rFonts w:ascii="TimesNewRomanPS" w:hAnsi="TimesNewRomanPS"/>
        </w:rPr>
        <w:t>d</w:t>
      </w:r>
      <w:r w:rsidRPr="00F8639B">
        <w:rPr>
          <w:rFonts w:ascii="TimesNewRomanPS" w:hAnsi="TimesNewRomanPS" w:hint="eastAsia"/>
        </w:rPr>
        <w:t xml:space="preserve"> course assignments to ensure student</w:t>
      </w:r>
      <w:r w:rsidR="00EE6A15">
        <w:rPr>
          <w:rFonts w:ascii="TimesNewRomanPS" w:hAnsi="TimesNewRomanPS"/>
        </w:rPr>
        <w:t>s’ understanding of</w:t>
      </w:r>
      <w:r w:rsidRPr="00F8639B">
        <w:rPr>
          <w:rFonts w:ascii="TimesNewRomanPS" w:hAnsi="TimesNewRomanPS" w:hint="eastAsia"/>
        </w:rPr>
        <w:t xml:space="preserve"> course content. </w:t>
      </w:r>
    </w:p>
    <w:p w14:paraId="25C1F488" w14:textId="7E150323" w:rsidR="00F8639B" w:rsidRPr="00F8639B" w:rsidRDefault="00F8639B" w:rsidP="00F863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>Work</w:t>
      </w:r>
      <w:r w:rsidR="00EE6A15">
        <w:rPr>
          <w:rFonts w:ascii="TimesNewRomanPS" w:hAnsi="TimesNewRomanPS"/>
        </w:rPr>
        <w:t>ed</w:t>
      </w:r>
      <w:r w:rsidRPr="00F8639B">
        <w:rPr>
          <w:rFonts w:ascii="TimesNewRomanPS" w:hAnsi="TimesNewRomanPS" w:hint="eastAsia"/>
        </w:rPr>
        <w:t xml:space="preserve"> collaboratively wit</w:t>
      </w:r>
      <w:r>
        <w:rPr>
          <w:rFonts w:ascii="TimesNewRomanPS" w:hAnsi="TimesNewRomanPS"/>
        </w:rPr>
        <w:t xml:space="preserve">hin the department </w:t>
      </w:r>
      <w:r w:rsidRPr="00F8639B">
        <w:rPr>
          <w:rFonts w:ascii="TimesNewRomanPS" w:hAnsi="TimesNewRomanPS" w:hint="eastAsia"/>
        </w:rPr>
        <w:t xml:space="preserve">to update course materials and </w:t>
      </w:r>
    </w:p>
    <w:p w14:paraId="1CCEBC08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 w:rsidRPr="00F8639B">
        <w:rPr>
          <w:rFonts w:ascii="TimesNewRomanPS" w:hAnsi="TimesNewRomanPS" w:hint="eastAsia"/>
        </w:rPr>
        <w:t xml:space="preserve">content. </w:t>
      </w:r>
    </w:p>
    <w:p w14:paraId="42104258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color w:val="7F7F7F" w:themeColor="text1" w:themeTint="80"/>
          <w:u w:val="single"/>
        </w:rPr>
      </w:pP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  <w:r w:rsidRPr="00F8639B">
        <w:rPr>
          <w:rFonts w:ascii="TimesNewRomanPS" w:hAnsi="TimesNewRomanPS"/>
          <w:b/>
          <w:bCs/>
          <w:color w:val="7F7F7F" w:themeColor="text1" w:themeTint="80"/>
          <w:u w:val="single"/>
        </w:rPr>
        <w:tab/>
      </w:r>
    </w:p>
    <w:p w14:paraId="04CDEFBB" w14:textId="77777777" w:rsidR="00C2052E" w:rsidRPr="00883AE0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PROFESSIONAL EXPERIENCE</w:t>
      </w:r>
      <w:r w:rsidRPr="00F8639B">
        <w:rPr>
          <w:rFonts w:ascii="TimesNewRomanPS" w:hAnsi="TimesNewRomanPS"/>
          <w:b/>
          <w:bCs/>
        </w:rPr>
        <w:t xml:space="preserve">: </w:t>
      </w:r>
    </w:p>
    <w:p w14:paraId="6B729087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Executive Director and Founder </w:t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Pr="00F8639B">
        <w:rPr>
          <w:rFonts w:ascii="TimesNewRomanPS" w:hAnsi="TimesNewRomanPS" w:hint="eastAsia"/>
        </w:rPr>
        <w:t>2012-</w:t>
      </w:r>
      <w:r w:rsidR="00C2052E">
        <w:rPr>
          <w:rFonts w:ascii="TimesNewRomanPS" w:hAnsi="TimesNewRomanPS"/>
        </w:rPr>
        <w:t>2019</w:t>
      </w:r>
      <w:r w:rsidRPr="00F8639B">
        <w:rPr>
          <w:rFonts w:ascii="TimesNewRomanPS" w:hAnsi="TimesNewRomanPS" w:hint="eastAsia"/>
        </w:rPr>
        <w:t xml:space="preserve"> </w:t>
      </w:r>
    </w:p>
    <w:p w14:paraId="251F82B5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</w:rPr>
      </w:pPr>
      <w:proofErr w:type="spellStart"/>
      <w:r w:rsidRPr="00F8639B">
        <w:rPr>
          <w:rFonts w:ascii="TimesNewRomanPS" w:hAnsi="TimesNewRomanPS"/>
          <w:i/>
          <w:iCs/>
        </w:rPr>
        <w:t>Kymari</w:t>
      </w:r>
      <w:proofErr w:type="spellEnd"/>
      <w:r w:rsidRPr="00F8639B">
        <w:rPr>
          <w:rFonts w:ascii="TimesNewRomanPS" w:hAnsi="TimesNewRomanPS"/>
          <w:i/>
          <w:iCs/>
        </w:rPr>
        <w:t xml:space="preserve"> House, Inc. Murfreesboro TN </w:t>
      </w:r>
    </w:p>
    <w:p w14:paraId="44E61060" w14:textId="77777777" w:rsidR="00C2052E" w:rsidRPr="00F8639B" w:rsidRDefault="00F8639B" w:rsidP="00C2052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>Responsible for all agency operations, fund-raising, community development, board liaison, and strategic planning.</w:t>
      </w:r>
    </w:p>
    <w:p w14:paraId="490F1CAC" w14:textId="77777777" w:rsidR="00C2052E" w:rsidRDefault="00F8639B" w:rsidP="00F863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Extensive grant-writing responsibilities to include local, state and Federal government grants; private foundation grants; and corporate grants. </w:t>
      </w:r>
    </w:p>
    <w:p w14:paraId="63CBDE9B" w14:textId="77777777" w:rsidR="00F8639B" w:rsidRDefault="00F8639B" w:rsidP="00F863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Directed financial growth of agency of more than 900% over 5-year period. </w:t>
      </w:r>
    </w:p>
    <w:p w14:paraId="1F27BE45" w14:textId="77777777" w:rsidR="00C2052E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52BB2E5D" w14:textId="77777777" w:rsid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District Supervisor, Social Work Department </w:t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Pr="00F8639B">
        <w:rPr>
          <w:rFonts w:ascii="TimesNewRomanPS" w:hAnsi="TimesNewRomanPS" w:hint="eastAsia"/>
        </w:rPr>
        <w:t xml:space="preserve">2010-2012 </w:t>
      </w:r>
    </w:p>
    <w:p w14:paraId="71EE82B2" w14:textId="77777777" w:rsidR="00883AE0" w:rsidRDefault="00F8639B" w:rsidP="00883AE0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i/>
          <w:iCs/>
        </w:rPr>
        <w:t xml:space="preserve">Murfreesboro City Schools, Murfreesboro, TN </w:t>
      </w:r>
    </w:p>
    <w:p w14:paraId="6618C97E" w14:textId="77777777" w:rsidR="00883AE0" w:rsidRPr="00F8639B" w:rsidRDefault="00883AE0" w:rsidP="00883AE0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</w:rPr>
      </w:pPr>
    </w:p>
    <w:p w14:paraId="5FF6D717" w14:textId="77777777" w:rsidR="00883AE0" w:rsidRDefault="00F8639B" w:rsidP="00883A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This position founded the social work program at Murfreesboro City Schools with just one social worker and grew the department to five-full time social workers within a two- year period. </w:t>
      </w:r>
    </w:p>
    <w:p w14:paraId="1EE31C93" w14:textId="339786EA" w:rsidR="00883AE0" w:rsidRPr="00EE6A15" w:rsidRDefault="00F8639B" w:rsidP="00F863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Supervised </w:t>
      </w:r>
      <w:r w:rsidR="00883AE0">
        <w:rPr>
          <w:rFonts w:ascii="TimesNewRomanPS" w:hAnsi="TimesNewRomanPS"/>
        </w:rPr>
        <w:t xml:space="preserve">the work of </w:t>
      </w:r>
      <w:r w:rsidRPr="00F8639B">
        <w:rPr>
          <w:rFonts w:ascii="TimesNewRomanPS" w:hAnsi="TimesNewRomanPS" w:hint="eastAsia"/>
        </w:rPr>
        <w:t xml:space="preserve">eleven school counselors and served as liaison with Central Office for both departments. </w:t>
      </w:r>
    </w:p>
    <w:p w14:paraId="09CBFA5D" w14:textId="77777777" w:rsidR="00883AE0" w:rsidRDefault="00883AE0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715075C8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Program Director </w:t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="00C2052E">
        <w:rPr>
          <w:rFonts w:ascii="TimesNewRomanPS" w:hAnsi="TimesNewRomanPS"/>
        </w:rPr>
        <w:tab/>
      </w:r>
      <w:r w:rsidRPr="00F8639B">
        <w:rPr>
          <w:rFonts w:ascii="TimesNewRomanPS" w:hAnsi="TimesNewRomanPS" w:hint="eastAsia"/>
        </w:rPr>
        <w:t xml:space="preserve">2007-2010 </w:t>
      </w:r>
    </w:p>
    <w:p w14:paraId="36C37C1B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i/>
          <w:iCs/>
        </w:rPr>
        <w:t xml:space="preserve">The Family Center, Murfreesboro TN </w:t>
      </w:r>
    </w:p>
    <w:p w14:paraId="047CFACB" w14:textId="77777777" w:rsidR="00F8639B" w:rsidRPr="00F8639B" w:rsidRDefault="00F8639B" w:rsidP="00F8639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This position was responsible for clinical and administrative supervision of all agency programs in Rutherford County including supervised visitation, parent education, and in- home counseling for children at high risk of abuse/neglect. </w:t>
      </w:r>
    </w:p>
    <w:p w14:paraId="49ADEF33" w14:textId="77777777" w:rsidR="00F8639B" w:rsidRPr="00F8639B" w:rsidRDefault="00F8639B" w:rsidP="00F8639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Served as agency liaison to community funders, TN Department of Children’s Services, and collaborative partners. </w:t>
      </w:r>
    </w:p>
    <w:p w14:paraId="30BE4CDF" w14:textId="77777777" w:rsidR="00F8639B" w:rsidRPr="00F8639B" w:rsidRDefault="00F8639B" w:rsidP="00F8639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Administered and reported on various program grants and participated in fund-raising activities in the community. </w:t>
      </w:r>
    </w:p>
    <w:p w14:paraId="0F97DC95" w14:textId="77777777" w:rsidR="00C2052E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4FF6043D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Perinatal Social Worker II 2005-2007 </w:t>
      </w:r>
    </w:p>
    <w:p w14:paraId="2C0D7646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i/>
          <w:iCs/>
        </w:rPr>
        <w:t xml:space="preserve">Vanderbilt University Medical Center, Nashville TN </w:t>
      </w:r>
    </w:p>
    <w:p w14:paraId="1B7F144E" w14:textId="77777777" w:rsid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• This position was responsible for conducting psychosocial assessments and developing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brief, targeted interventions for social, emotional, and environmental issues that impact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patients’ ability to optimally benefit from medical care. </w:t>
      </w:r>
    </w:p>
    <w:p w14:paraId="753AA2A4" w14:textId="77777777" w:rsidR="00C2052E" w:rsidRP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657E5128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proofErr w:type="spellStart"/>
      <w:r w:rsidRPr="00F8639B">
        <w:rPr>
          <w:rFonts w:ascii="TimesNewRomanPS" w:hAnsi="TimesNewRomanPS" w:hint="eastAsia"/>
        </w:rPr>
        <w:t>AdultPeace</w:t>
      </w:r>
      <w:proofErr w:type="spellEnd"/>
      <w:r w:rsidRPr="00F8639B">
        <w:rPr>
          <w:rFonts w:ascii="TimesNewRomanPS" w:hAnsi="TimesNewRomanPS" w:hint="eastAsia"/>
        </w:rPr>
        <w:t xml:space="preserve"> Program Coordinator and Group Facilitator 2003-2005 </w:t>
      </w:r>
    </w:p>
    <w:p w14:paraId="39FC54CE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i/>
          <w:iCs/>
        </w:rPr>
        <w:t xml:space="preserve">Domestic Violence Intervention Center, Nashville TN </w:t>
      </w:r>
    </w:p>
    <w:p w14:paraId="204E448B" w14:textId="77777777" w:rsid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• This position was responsible for coordination of treatment services for clients with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history of domestic violence and anger management issues. Supervised all group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facilitators, interns, and volunteers for the program; maintained batterers’ intervention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program staffing and schedule; functioned as counselor and educator for batterers’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intervention program; and served as court liaison for domestic violence bond docket. </w:t>
      </w:r>
    </w:p>
    <w:p w14:paraId="75A85CF0" w14:textId="77777777" w:rsidR="00C2052E" w:rsidRP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57025839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Adult Case Manager 2002-2004 </w:t>
      </w:r>
    </w:p>
    <w:p w14:paraId="0FFF786C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i/>
          <w:iCs/>
        </w:rPr>
        <w:t xml:space="preserve">Mental Health Cooperative, Nashville TN </w:t>
      </w:r>
    </w:p>
    <w:p w14:paraId="56BB886C" w14:textId="77777777" w:rsid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• This position was responsible for providing comprehensive case management services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to clients with severe and persistent mental illness. </w:t>
      </w:r>
    </w:p>
    <w:p w14:paraId="736D721F" w14:textId="77777777" w:rsidR="00C2052E" w:rsidRP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48BFF5C3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Director, Enrollment Marketing 2000-2001 </w:t>
      </w:r>
    </w:p>
    <w:p w14:paraId="07442644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i/>
          <w:iCs/>
        </w:rPr>
        <w:t xml:space="preserve">eCollege.com, Denver CO </w:t>
      </w:r>
    </w:p>
    <w:p w14:paraId="5C7CABCF" w14:textId="77777777" w:rsid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• This position was responsible for assisting university clients with marketing activities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aimed at increasing enrollment in online educational programs. </w:t>
      </w:r>
    </w:p>
    <w:p w14:paraId="35D80B60" w14:textId="77777777" w:rsidR="00C2052E" w:rsidRPr="00F8639B" w:rsidRDefault="00C2052E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</w:p>
    <w:p w14:paraId="3C394049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 w:hint="eastAsia"/>
        </w:rPr>
        <w:t xml:space="preserve">Director, Executive Education 1997-2000 </w:t>
      </w:r>
    </w:p>
    <w:p w14:paraId="7B640543" w14:textId="77777777" w:rsidR="00F8639B" w:rsidRPr="00F8639B" w:rsidRDefault="00F8639B" w:rsidP="00F8639B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 w:rsidRPr="00F8639B">
        <w:rPr>
          <w:rFonts w:ascii="TimesNewRomanPS" w:hAnsi="TimesNewRomanPS"/>
          <w:i/>
          <w:iCs/>
        </w:rPr>
        <w:t xml:space="preserve">Owen Graduate School of Management Vanderbilt University, Nashville TN </w:t>
      </w:r>
    </w:p>
    <w:p w14:paraId="472AC5E3" w14:textId="77777777" w:rsidR="00F8639B" w:rsidRPr="00C2052E" w:rsidRDefault="00C2052E" w:rsidP="00C2052E">
      <w:pPr>
        <w:pStyle w:val="Normal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 xml:space="preserve">• This position was responsible for coordinating and marketing non-degree education </w:t>
      </w:r>
      <w:r>
        <w:rPr>
          <w:rFonts w:ascii="TimesNewRomanPS" w:hAnsi="TimesNewRomanPS"/>
        </w:rPr>
        <w:tab/>
      </w:r>
      <w:r w:rsidR="00F8639B" w:rsidRPr="00F8639B">
        <w:rPr>
          <w:rFonts w:ascii="TimesNewRomanPS" w:hAnsi="TimesNewRomanPS" w:hint="eastAsia"/>
        </w:rPr>
        <w:t>programs for the graduate school of business at Vanderbilt University.</w:t>
      </w:r>
    </w:p>
    <w:sectPr w:rsidR="00F8639B" w:rsidRPr="00C2052E" w:rsidSect="007C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71F4"/>
    <w:multiLevelType w:val="multilevel"/>
    <w:tmpl w:val="B92E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085A00"/>
    <w:multiLevelType w:val="multilevel"/>
    <w:tmpl w:val="00FA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395850">
    <w:abstractNumId w:val="0"/>
  </w:num>
  <w:num w:numId="2" w16cid:durableId="62331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B"/>
    <w:rsid w:val="001566D6"/>
    <w:rsid w:val="00203586"/>
    <w:rsid w:val="00256F1A"/>
    <w:rsid w:val="00425809"/>
    <w:rsid w:val="007C324E"/>
    <w:rsid w:val="00846AFD"/>
    <w:rsid w:val="00883AE0"/>
    <w:rsid w:val="00A6435B"/>
    <w:rsid w:val="00C2052E"/>
    <w:rsid w:val="00EE6A15"/>
    <w:rsid w:val="00F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C159"/>
  <w15:chartTrackingRefBased/>
  <w15:docId w15:val="{0A368CD4-17C9-3640-B4F3-4FB64DE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3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6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Hobbs</dc:creator>
  <cp:keywords/>
  <dc:description/>
  <cp:lastModifiedBy>Robare, Linda</cp:lastModifiedBy>
  <cp:revision>2</cp:revision>
  <dcterms:created xsi:type="dcterms:W3CDTF">2023-03-21T19:26:00Z</dcterms:created>
  <dcterms:modified xsi:type="dcterms:W3CDTF">2023-03-21T19:26:00Z</dcterms:modified>
</cp:coreProperties>
</file>