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C9" w:rsidRDefault="00E805BB" w:rsidP="00E805BB">
      <w:pPr>
        <w:tabs>
          <w:tab w:val="left" w:pos="7110"/>
        </w:tabs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r w:rsidR="000D0AC9">
        <w:rPr>
          <w:rFonts w:ascii="Arial" w:hAnsi="Arial" w:cs="Arial"/>
          <w:b/>
          <w:sz w:val="24"/>
          <w:szCs w:val="28"/>
        </w:rPr>
        <w:t>ATTACHMENT</w:t>
      </w:r>
      <w:r w:rsidR="000D0AC9">
        <w:rPr>
          <w:rFonts w:ascii="Arial" w:hAnsi="Arial" w:cs="Arial"/>
          <w:b/>
          <w:bCs/>
          <w:sz w:val="24"/>
          <w:szCs w:val="28"/>
        </w:rPr>
        <w:t xml:space="preserve"> </w:t>
      </w:r>
      <w:r w:rsidR="000D0AC9" w:rsidRPr="000D0AC9">
        <w:rPr>
          <w:rFonts w:ascii="Arial" w:hAnsi="Arial" w:cs="Arial"/>
          <w:b/>
          <w:bCs/>
          <w:color w:val="FF0000"/>
          <w:sz w:val="24"/>
          <w:szCs w:val="28"/>
        </w:rPr>
        <w:t>6.X</w:t>
      </w:r>
    </w:p>
    <w:p w:rsidR="000D0AC9" w:rsidRDefault="000D0AC9" w:rsidP="000D0AC9">
      <w:pPr>
        <w:keepNext/>
        <w:spacing w:after="6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0D0AC9" w:rsidRDefault="000D0AC9" w:rsidP="000D0AC9">
      <w:pPr>
        <w:keepNext/>
        <w:spacing w:after="6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t>Vendor Product Accessibility Statement and Documentation</w:t>
      </w:r>
    </w:p>
    <w:p w:rsidR="000D0AC9" w:rsidRDefault="000D0AC9" w:rsidP="000D0AC9">
      <w:pPr>
        <w:keepNext/>
        <w:keepLines/>
        <w:spacing w:before="40"/>
        <w:outlineLvl w:val="1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0D0AC9" w:rsidRDefault="000D0AC9" w:rsidP="000D0AC9">
      <w:pPr>
        <w:keepNext/>
        <w:keepLines/>
        <w:spacing w:before="40"/>
        <w:outlineLvl w:val="1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Purpose of Accessibility Statement</w:t>
      </w:r>
    </w:p>
    <w:p w:rsidR="000D0AC9" w:rsidRDefault="000D0AC9" w:rsidP="000D0A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effective Accessibility Statement includes several key components including:</w:t>
      </w:r>
    </w:p>
    <w:p w:rsidR="000D0AC9" w:rsidRDefault="000D0AC9" w:rsidP="000D0AC9">
      <w:pPr>
        <w:numPr>
          <w:ilvl w:val="0"/>
          <w:numId w:val="1"/>
        </w:numPr>
        <w:spacing w:after="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clear statement of commitment to ensuring equal access for all users</w:t>
      </w:r>
    </w:p>
    <w:p w:rsidR="000D0AC9" w:rsidRDefault="000D0AC9" w:rsidP="000D0AC9">
      <w:pPr>
        <w:numPr>
          <w:ilvl w:val="0"/>
          <w:numId w:val="1"/>
        </w:numPr>
        <w:spacing w:after="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Required written documentation on the level of conformance with THEC/TBR accessibility standards</w:t>
      </w:r>
    </w:p>
    <w:p w:rsidR="000D0AC9" w:rsidRDefault="000D0AC9" w:rsidP="000D0AC9">
      <w:pPr>
        <w:numPr>
          <w:ilvl w:val="0"/>
          <w:numId w:val="1"/>
        </w:numPr>
        <w:spacing w:after="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Information for users with disabilities regarding product/service accessibility features and gaps</w:t>
      </w:r>
    </w:p>
    <w:p w:rsidR="000D0AC9" w:rsidRDefault="000D0AC9" w:rsidP="000D0AC9">
      <w:pPr>
        <w:numPr>
          <w:ilvl w:val="0"/>
          <w:numId w:val="1"/>
        </w:numPr>
        <w:spacing w:after="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mechanism to allows users to provide accessibility feedback</w:t>
      </w:r>
    </w:p>
    <w:p w:rsidR="000D0AC9" w:rsidRDefault="000D0AC9" w:rsidP="000D0AC9">
      <w:pPr>
        <w:numPr>
          <w:ilvl w:val="0"/>
          <w:numId w:val="1"/>
        </w:numPr>
        <w:spacing w:after="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Links to resources (internal or external) that provide additional or related information</w:t>
      </w:r>
    </w:p>
    <w:p w:rsidR="000D0AC9" w:rsidRDefault="000D0AC9" w:rsidP="000D0AC9">
      <w:pPr>
        <w:keepNext/>
        <w:keepLines/>
        <w:spacing w:before="40"/>
        <w:outlineLvl w:val="1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Key Components</w:t>
      </w:r>
    </w:p>
    <w:p w:rsidR="000D0AC9" w:rsidRDefault="000D0AC9" w:rsidP="000D0AC9">
      <w:pPr>
        <w:keepNext/>
        <w:keepLines/>
        <w:spacing w:before="40"/>
        <w:outlineLvl w:val="2"/>
        <w:rPr>
          <w:rFonts w:ascii="Arial" w:eastAsiaTheme="majorEastAsia" w:hAnsi="Arial" w:cs="Arial"/>
          <w:sz w:val="20"/>
          <w:szCs w:val="20"/>
        </w:rPr>
      </w:pPr>
      <w:r>
        <w:rPr>
          <w:rFonts w:ascii="Arial" w:eastAsiaTheme="majorEastAsia" w:hAnsi="Arial" w:cs="Arial"/>
          <w:sz w:val="20"/>
          <w:szCs w:val="20"/>
        </w:rPr>
        <w:t>Commitment Statement</w:t>
      </w:r>
    </w:p>
    <w:p w:rsidR="000D0AC9" w:rsidRDefault="000D0AC9" w:rsidP="000D0AC9">
      <w:pPr>
        <w:numPr>
          <w:ilvl w:val="0"/>
          <w:numId w:val="2"/>
        </w:numPr>
        <w:spacing w:after="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Emphasize commitment to ensuring the accessibility of the product/service.</w:t>
      </w:r>
    </w:p>
    <w:p w:rsidR="000D0AC9" w:rsidRDefault="000D0AC9" w:rsidP="000D0AC9">
      <w:pPr>
        <w:numPr>
          <w:ilvl w:val="0"/>
          <w:numId w:val="2"/>
        </w:numPr>
        <w:spacing w:after="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 any ongoing efforts to monitor for and remediate accessibility issues as they are identified.</w:t>
      </w:r>
      <w:bookmarkStart w:id="0" w:name="_GoBack"/>
      <w:bookmarkEnd w:id="0"/>
    </w:p>
    <w:p w:rsidR="000D0AC9" w:rsidRDefault="000D0AC9" w:rsidP="000D0AC9">
      <w:pPr>
        <w:keepNext/>
        <w:keepLines/>
        <w:spacing w:before="40"/>
        <w:outlineLvl w:val="2"/>
        <w:rPr>
          <w:rFonts w:ascii="Arial" w:eastAsiaTheme="majorEastAsia" w:hAnsi="Arial" w:cs="Arial"/>
          <w:sz w:val="20"/>
          <w:szCs w:val="20"/>
        </w:rPr>
      </w:pPr>
      <w:r>
        <w:rPr>
          <w:rFonts w:ascii="Arial" w:eastAsiaTheme="majorEastAsia" w:hAnsi="Arial" w:cs="Arial"/>
          <w:sz w:val="20"/>
          <w:szCs w:val="20"/>
        </w:rPr>
        <w:t>Required Documentation</w:t>
      </w:r>
    </w:p>
    <w:p w:rsidR="000D0AC9" w:rsidRDefault="000D0AC9" w:rsidP="000D0AC9">
      <w:pPr>
        <w:numPr>
          <w:ilvl w:val="0"/>
          <w:numId w:val="3"/>
        </w:numPr>
        <w:spacing w:after="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written documentation on </w:t>
      </w:r>
    </w:p>
    <w:p w:rsidR="000D0AC9" w:rsidRDefault="000D0AC9" w:rsidP="000D0AC9">
      <w:pPr>
        <w:numPr>
          <w:ilvl w:val="1"/>
          <w:numId w:val="3"/>
        </w:numPr>
        <w:spacing w:after="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the product/service meets the THEC/TBR accessibility standards,</w:t>
      </w:r>
    </w:p>
    <w:p w:rsidR="000D0AC9" w:rsidRDefault="00E805BB" w:rsidP="000D0AC9">
      <w:pPr>
        <w:numPr>
          <w:ilvl w:val="2"/>
          <w:numId w:val="3"/>
        </w:numPr>
        <w:spacing w:after="80" w:line="276" w:lineRule="auto"/>
        <w:rPr>
          <w:rFonts w:ascii="Arial" w:hAnsi="Arial" w:cs="Arial"/>
          <w:sz w:val="20"/>
          <w:szCs w:val="20"/>
        </w:rPr>
      </w:pPr>
      <w:hyperlink r:id="rId7" w:history="1">
        <w:r w:rsidR="000D0AC9">
          <w:rPr>
            <w:rStyle w:val="Hyperlink"/>
            <w:rFonts w:ascii="Arial" w:hAnsi="Arial" w:cs="Arial"/>
            <w:sz w:val="20"/>
            <w:szCs w:val="20"/>
          </w:rPr>
          <w:t>WCAG 2.0 A&amp;AA Guidelines</w:t>
        </w:r>
      </w:hyperlink>
      <w:r w:rsidR="000D0AC9">
        <w:rPr>
          <w:rFonts w:ascii="Arial" w:hAnsi="Arial" w:cs="Arial"/>
          <w:sz w:val="20"/>
          <w:szCs w:val="20"/>
        </w:rPr>
        <w:t>/</w:t>
      </w:r>
      <w:hyperlink r:id="rId8" w:history="1">
        <w:r w:rsidR="000D0AC9">
          <w:rPr>
            <w:rStyle w:val="Hyperlink"/>
            <w:rFonts w:ascii="Arial" w:hAnsi="Arial" w:cs="Arial"/>
            <w:sz w:val="20"/>
            <w:szCs w:val="20"/>
            <w:lang w:val="en"/>
          </w:rPr>
          <w:t>ISO/IEC 40500:2012</w:t>
        </w:r>
      </w:hyperlink>
    </w:p>
    <w:p w:rsidR="000D0AC9" w:rsidRDefault="00E805BB" w:rsidP="000D0AC9">
      <w:pPr>
        <w:numPr>
          <w:ilvl w:val="2"/>
          <w:numId w:val="3"/>
        </w:numPr>
        <w:spacing w:after="80" w:line="276" w:lineRule="auto"/>
        <w:rPr>
          <w:rFonts w:ascii="Arial" w:hAnsi="Arial" w:cs="Arial"/>
          <w:sz w:val="20"/>
          <w:szCs w:val="20"/>
        </w:rPr>
      </w:pPr>
      <w:hyperlink r:id="rId9" w:history="1">
        <w:r w:rsidR="000D0AC9">
          <w:rPr>
            <w:rStyle w:val="Hyperlink"/>
            <w:rFonts w:ascii="Arial" w:hAnsi="Arial" w:cs="Arial"/>
            <w:sz w:val="20"/>
            <w:szCs w:val="20"/>
          </w:rPr>
          <w:t>508</w:t>
        </w:r>
      </w:hyperlink>
      <w:r w:rsidR="000D0AC9">
        <w:rPr>
          <w:rFonts w:ascii="Arial" w:hAnsi="Arial" w:cs="Arial"/>
          <w:sz w:val="20"/>
          <w:szCs w:val="20"/>
        </w:rPr>
        <w:t xml:space="preserve"> Voluntary Product Accessibility Template (</w:t>
      </w:r>
      <w:hyperlink r:id="rId10" w:history="1">
        <w:r w:rsidR="000D0AC9">
          <w:rPr>
            <w:rStyle w:val="Hyperlink"/>
            <w:rFonts w:ascii="Arial" w:hAnsi="Arial" w:cs="Arial"/>
            <w:sz w:val="20"/>
            <w:szCs w:val="20"/>
          </w:rPr>
          <w:t>VPAT</w:t>
        </w:r>
      </w:hyperlink>
      <w:r w:rsidR="000D0AC9">
        <w:rPr>
          <w:rFonts w:ascii="Arial" w:hAnsi="Arial" w:cs="Arial"/>
          <w:sz w:val="20"/>
          <w:szCs w:val="20"/>
        </w:rPr>
        <w:t xml:space="preserve">) </w:t>
      </w:r>
    </w:p>
    <w:p w:rsidR="000D0AC9" w:rsidRDefault="000D0AC9" w:rsidP="000D0AC9">
      <w:pPr>
        <w:numPr>
          <w:ilvl w:val="2"/>
          <w:numId w:val="3"/>
        </w:numPr>
        <w:spacing w:after="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</w:rPr>
          <w:t>EPUB3 Accessibility Guidelines</w:t>
        </w:r>
      </w:hyperlink>
      <w:r>
        <w:rPr>
          <w:rFonts w:ascii="Arial" w:hAnsi="Arial" w:cs="Arial"/>
          <w:sz w:val="20"/>
          <w:szCs w:val="20"/>
        </w:rPr>
        <w:t xml:space="preserve"> (if applicable) </w:t>
      </w:r>
    </w:p>
    <w:p w:rsidR="000D0AC9" w:rsidRDefault="000D0AC9" w:rsidP="000D0AC9">
      <w:pPr>
        <w:numPr>
          <w:ilvl w:val="1"/>
          <w:numId w:val="3"/>
        </w:numPr>
        <w:spacing w:after="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any available accessibility testing results </w:t>
      </w:r>
    </w:p>
    <w:p w:rsidR="000D0AC9" w:rsidRDefault="000D0AC9" w:rsidP="000D0AC9">
      <w:pPr>
        <w:numPr>
          <w:ilvl w:val="2"/>
          <w:numId w:val="3"/>
        </w:numPr>
        <w:spacing w:after="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any third-party agencies with whom you have worked to evaluate accessibility support</w:t>
      </w:r>
    </w:p>
    <w:p w:rsidR="000D0AC9" w:rsidRDefault="000D0AC9" w:rsidP="000D0AC9">
      <w:pPr>
        <w:numPr>
          <w:ilvl w:val="2"/>
          <w:numId w:val="3"/>
        </w:numPr>
        <w:spacing w:after="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any formal testing process you use to determine accessibility support</w:t>
      </w:r>
    </w:p>
    <w:p w:rsidR="000D0AC9" w:rsidRDefault="000D0AC9" w:rsidP="000D0AC9">
      <w:pPr>
        <w:numPr>
          <w:ilvl w:val="2"/>
          <w:numId w:val="3"/>
        </w:numPr>
        <w:spacing w:after="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Indicate if you conduct user testing with persons with disabilities to verify accessibility support</w:t>
      </w:r>
    </w:p>
    <w:p w:rsidR="000D0AC9" w:rsidRDefault="000D0AC9" w:rsidP="000D0AC9">
      <w:pPr>
        <w:numPr>
          <w:ilvl w:val="1"/>
          <w:numId w:val="3"/>
        </w:numPr>
        <w:spacing w:after="80"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and</w:t>
      </w:r>
      <w:proofErr w:type="gramEnd"/>
      <w:r>
        <w:rPr>
          <w:rFonts w:ascii="Arial" w:hAnsi="Arial" w:cs="Arial"/>
          <w:sz w:val="20"/>
          <w:szCs w:val="20"/>
        </w:rPr>
        <w:t xml:space="preserve"> include the </w:t>
      </w:r>
      <w:hyperlink r:id="rId12" w:history="1">
        <w:r>
          <w:rPr>
            <w:rStyle w:val="Hyperlink"/>
            <w:rFonts w:ascii="Arial" w:hAnsi="Arial" w:cs="Arial"/>
            <w:sz w:val="20"/>
            <w:szCs w:val="20"/>
          </w:rPr>
          <w:t>Conformance and Remediation</w:t>
        </w:r>
      </w:hyperlink>
      <w:r>
        <w:rPr>
          <w:rFonts w:ascii="Arial" w:hAnsi="Arial" w:cs="Arial"/>
          <w:sz w:val="20"/>
          <w:szCs w:val="20"/>
        </w:rPr>
        <w:t xml:space="preserve"> Form when standards conformance is not fully achieved to demonstrate vendor’s planned roadmap to full conformance.</w:t>
      </w:r>
    </w:p>
    <w:p w:rsidR="000D0AC9" w:rsidRDefault="000D0AC9" w:rsidP="000D0AC9">
      <w:pPr>
        <w:numPr>
          <w:ilvl w:val="0"/>
          <w:numId w:val="3"/>
        </w:numPr>
        <w:spacing w:after="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links to any other internal accessibility documentation (e.g., accessibility information within general product documentation, FAQs, best practices, tutorials, case studies, or white papers).</w:t>
      </w:r>
    </w:p>
    <w:p w:rsidR="000D0AC9" w:rsidRDefault="000D0AC9" w:rsidP="000D0AC9">
      <w:pPr>
        <w:numPr>
          <w:ilvl w:val="1"/>
          <w:numId w:val="3"/>
        </w:numPr>
        <w:spacing w:after="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 any other best practices or guidelines utilized during design and development (if applicable).</w:t>
      </w:r>
    </w:p>
    <w:p w:rsidR="000D0AC9" w:rsidRDefault="000D0AC9" w:rsidP="000D0AC9">
      <w:pPr>
        <w:keepNext/>
        <w:keepLines/>
        <w:spacing w:before="40"/>
        <w:outlineLvl w:val="2"/>
        <w:rPr>
          <w:rFonts w:ascii="Arial" w:eastAsiaTheme="majorEastAsia" w:hAnsi="Arial" w:cs="Arial"/>
          <w:sz w:val="20"/>
          <w:szCs w:val="20"/>
        </w:rPr>
      </w:pPr>
      <w:r>
        <w:rPr>
          <w:rFonts w:ascii="Arial" w:eastAsiaTheme="majorEastAsia" w:hAnsi="Arial" w:cs="Arial"/>
          <w:sz w:val="20"/>
          <w:szCs w:val="20"/>
        </w:rPr>
        <w:t>Product Usage Information for Users with Disabilities</w:t>
      </w:r>
    </w:p>
    <w:p w:rsidR="000D0AC9" w:rsidRDefault="000D0AC9" w:rsidP="000D0AC9">
      <w:pPr>
        <w:numPr>
          <w:ilvl w:val="0"/>
          <w:numId w:val="4"/>
        </w:numPr>
        <w:spacing w:after="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any product features that may improve accessibility for users with disabilities including:</w:t>
      </w:r>
    </w:p>
    <w:p w:rsidR="000D0AC9" w:rsidRDefault="000D0AC9" w:rsidP="000D0AC9">
      <w:pPr>
        <w:numPr>
          <w:ilvl w:val="1"/>
          <w:numId w:val="4"/>
        </w:numPr>
        <w:spacing w:after="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Accessibility-specific features (e.g. the ability to adjust font size and color/contrast settings for text or the availability of closed captions for videos)</w:t>
      </w:r>
    </w:p>
    <w:p w:rsidR="000D0AC9" w:rsidRDefault="000D0AC9" w:rsidP="000D0AC9">
      <w:pPr>
        <w:numPr>
          <w:ilvl w:val="1"/>
          <w:numId w:val="4"/>
        </w:numPr>
        <w:spacing w:after="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General product features that may especially benefit users with disabilities (e.g. an ‘HTML 5’ mode optimized for mobile platforms that also improves keyboard-only navigation).</w:t>
      </w:r>
    </w:p>
    <w:p w:rsidR="000D0AC9" w:rsidRDefault="000D0AC9" w:rsidP="000D0AC9">
      <w:pPr>
        <w:numPr>
          <w:ilvl w:val="0"/>
          <w:numId w:val="4"/>
        </w:numPr>
        <w:spacing w:after="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any high-impact product accessibility gaps along with suggested interim workarounds that allow users to complete key tasks until the gaps are resolved. For example, if a technical support website isn’t compatible with screen readers used by the blind, appropriate interim workarounds might include:</w:t>
      </w:r>
    </w:p>
    <w:p w:rsidR="000D0AC9" w:rsidRDefault="000D0AC9" w:rsidP="000D0AC9">
      <w:pPr>
        <w:numPr>
          <w:ilvl w:val="1"/>
          <w:numId w:val="4"/>
        </w:numPr>
        <w:spacing w:after="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Alternative business processes that bypass the accessibility barrier (e.g. providing phone-based support until the web-based support site is accessible)</w:t>
      </w:r>
    </w:p>
    <w:p w:rsidR="000D0AC9" w:rsidRDefault="000D0AC9" w:rsidP="000D0AC9">
      <w:pPr>
        <w:numPr>
          <w:ilvl w:val="1"/>
          <w:numId w:val="4"/>
        </w:numPr>
        <w:spacing w:after="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of a third-party product to replace or supplement inaccessible product functions (e.g. indicating that users may submit or check the status of technical support tickets via email).</w:t>
      </w:r>
    </w:p>
    <w:p w:rsidR="000D0AC9" w:rsidRDefault="000D0AC9" w:rsidP="000D0AC9">
      <w:pPr>
        <w:numPr>
          <w:ilvl w:val="0"/>
          <w:numId w:val="4"/>
        </w:numPr>
        <w:spacing w:after="8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accessibility features provided by your communication channels (e.g. a deaf or hard-of-hearing user may contact you via a TTY line or access support personnel familiar with telephone relay services). </w:t>
      </w:r>
    </w:p>
    <w:p w:rsidR="000D0AC9" w:rsidRDefault="000D0AC9" w:rsidP="000D0AC9">
      <w:pPr>
        <w:keepNext/>
        <w:keepLines/>
        <w:spacing w:before="40"/>
        <w:outlineLvl w:val="2"/>
        <w:rPr>
          <w:rFonts w:ascii="Arial" w:eastAsiaTheme="majorEastAsia" w:hAnsi="Arial" w:cs="Arial"/>
          <w:sz w:val="20"/>
          <w:szCs w:val="20"/>
        </w:rPr>
      </w:pPr>
      <w:r>
        <w:rPr>
          <w:rFonts w:ascii="Arial" w:eastAsiaTheme="majorEastAsia" w:hAnsi="Arial" w:cs="Arial"/>
          <w:sz w:val="20"/>
          <w:szCs w:val="20"/>
        </w:rPr>
        <w:t>Feedback Mechanism</w:t>
      </w:r>
    </w:p>
    <w:p w:rsidR="000D0AC9" w:rsidRDefault="000D0AC9" w:rsidP="000D0AC9">
      <w:pPr>
        <w:numPr>
          <w:ilvl w:val="0"/>
          <w:numId w:val="5"/>
        </w:numPr>
        <w:spacing w:after="8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Indicate whether you have specific resources devoted to handling accessibility questions/concerns and provide the contact information for these resources.</w:t>
      </w:r>
    </w:p>
    <w:p w:rsidR="000D0AC9" w:rsidRDefault="000D0AC9" w:rsidP="000D0AC9">
      <w:pPr>
        <w:numPr>
          <w:ilvl w:val="0"/>
          <w:numId w:val="5"/>
        </w:numPr>
        <w:spacing w:after="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a specific mechanism for users to contact in order to:</w:t>
      </w:r>
    </w:p>
    <w:p w:rsidR="000D0AC9" w:rsidRDefault="000D0AC9" w:rsidP="000D0AC9">
      <w:pPr>
        <w:numPr>
          <w:ilvl w:val="1"/>
          <w:numId w:val="5"/>
        </w:numPr>
        <w:spacing w:after="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Request accessibility-related assistance</w:t>
      </w:r>
    </w:p>
    <w:p w:rsidR="000D0AC9" w:rsidRDefault="000D0AC9" w:rsidP="000D0AC9">
      <w:pPr>
        <w:numPr>
          <w:ilvl w:val="1"/>
          <w:numId w:val="5"/>
        </w:numPr>
        <w:spacing w:after="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 accessibility problems</w:t>
      </w:r>
    </w:p>
    <w:p w:rsidR="000D0AC9" w:rsidRDefault="000D0AC9" w:rsidP="000D0AC9">
      <w:pPr>
        <w:numPr>
          <w:ilvl w:val="1"/>
          <w:numId w:val="5"/>
        </w:numPr>
        <w:spacing w:after="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Request information in accessible alternate formats </w:t>
      </w:r>
    </w:p>
    <w:p w:rsidR="000D0AC9" w:rsidRDefault="000D0AC9" w:rsidP="000D0AC9">
      <w:pPr>
        <w:keepNext/>
        <w:keepLines/>
        <w:spacing w:before="40"/>
        <w:outlineLvl w:val="1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Implementation Recommendations</w:t>
      </w:r>
    </w:p>
    <w:p w:rsidR="000D0AC9" w:rsidRDefault="000D0AC9" w:rsidP="000D0AC9">
      <w:pPr>
        <w:keepNext/>
        <w:keepLines/>
        <w:spacing w:before="40"/>
        <w:outlineLvl w:val="2"/>
        <w:rPr>
          <w:rFonts w:ascii="Arial" w:eastAsiaTheme="majorEastAsia" w:hAnsi="Arial" w:cs="Arial"/>
          <w:sz w:val="20"/>
          <w:szCs w:val="20"/>
        </w:rPr>
      </w:pPr>
      <w:r>
        <w:rPr>
          <w:rFonts w:ascii="Arial" w:eastAsiaTheme="majorEastAsia" w:hAnsi="Arial" w:cs="Arial"/>
          <w:sz w:val="20"/>
          <w:szCs w:val="20"/>
        </w:rPr>
        <w:t>Ensure that the Accessibility Statement is Easily Located on Company Website.</w:t>
      </w:r>
    </w:p>
    <w:p w:rsidR="000D0AC9" w:rsidRDefault="000D0AC9" w:rsidP="000D0AC9">
      <w:pPr>
        <w:numPr>
          <w:ilvl w:val="0"/>
          <w:numId w:val="6"/>
        </w:numPr>
        <w:spacing w:after="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a hyperlink that points to the Accessibility Statement and meets the following criteria:</w:t>
      </w:r>
    </w:p>
    <w:p w:rsidR="000D0AC9" w:rsidRDefault="000D0AC9" w:rsidP="000D0AC9">
      <w:pPr>
        <w:numPr>
          <w:ilvl w:val="1"/>
          <w:numId w:val="6"/>
        </w:numPr>
        <w:spacing w:after="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Descriptive (e.g. ‘Accessibility’ or ‘Disability Access’)</w:t>
      </w:r>
    </w:p>
    <w:p w:rsidR="000D0AC9" w:rsidRDefault="000D0AC9" w:rsidP="000D0AC9">
      <w:pPr>
        <w:numPr>
          <w:ilvl w:val="1"/>
          <w:numId w:val="6"/>
        </w:numPr>
        <w:spacing w:after="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Prominently positioned (e.g. on the landing page, help/support page, and/or site map)</w:t>
      </w:r>
    </w:p>
    <w:p w:rsidR="000D0AC9" w:rsidRDefault="000D0AC9" w:rsidP="000D0AC9">
      <w:pPr>
        <w:numPr>
          <w:ilvl w:val="1"/>
          <w:numId w:val="6"/>
        </w:numPr>
        <w:spacing w:after="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Easily identified (e.g. adequate text size and color/contrast, not the last link in a complex page)</w:t>
      </w:r>
    </w:p>
    <w:p w:rsidR="000D0AC9" w:rsidRDefault="000D0AC9" w:rsidP="000D0AC9">
      <w:pPr>
        <w:keepNext/>
        <w:keepLines/>
        <w:spacing w:before="40"/>
        <w:outlineLvl w:val="2"/>
        <w:rPr>
          <w:rFonts w:ascii="Arial" w:eastAsiaTheme="majorEastAsia" w:hAnsi="Arial" w:cs="Arial"/>
          <w:sz w:val="20"/>
          <w:szCs w:val="20"/>
        </w:rPr>
      </w:pPr>
      <w:r>
        <w:rPr>
          <w:rFonts w:ascii="Arial" w:eastAsiaTheme="majorEastAsia" w:hAnsi="Arial" w:cs="Arial"/>
          <w:sz w:val="20"/>
          <w:szCs w:val="20"/>
        </w:rPr>
        <w:t>Keep the Information in the Accessibility Statement and Documentation Current.</w:t>
      </w:r>
    </w:p>
    <w:p w:rsidR="000D0AC9" w:rsidRDefault="000D0AC9" w:rsidP="000D0AC9">
      <w:pPr>
        <w:numPr>
          <w:ilvl w:val="0"/>
          <w:numId w:val="7"/>
        </w:numPr>
        <w:spacing w:after="8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 accessibility support changes over time due to product updates, accessibility evaluations, and remediation activities, regularly review and update the Accessibility Statement so it remains up to date.</w:t>
      </w:r>
    </w:p>
    <w:p w:rsidR="000D0AC9" w:rsidRDefault="000D0AC9" w:rsidP="000D0AC9">
      <w:pPr>
        <w:numPr>
          <w:ilvl w:val="0"/>
          <w:numId w:val="7"/>
        </w:numPr>
        <w:spacing w:after="8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Include a revision date for the Accessibility Statement so end users know whether the information is current.</w:t>
      </w:r>
    </w:p>
    <w:p w:rsidR="000D0AC9" w:rsidRDefault="000D0AC9" w:rsidP="000D0AC9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Direct any questions or comments to </w:t>
      </w:r>
      <w:hyperlink r:id="rId13" w:history="1">
        <w:r w:rsidRPr="000D0AC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the</w:t>
        </w:r>
      </w:hyperlink>
      <w:r w:rsidRPr="000D0AC9">
        <w:rPr>
          <w:rFonts w:ascii="Arial" w:hAnsi="Arial" w:cs="Arial"/>
          <w:sz w:val="20"/>
          <w:szCs w:val="20"/>
        </w:rPr>
        <w:t xml:space="preserve"> institutional Accessibility Liaison (</w:t>
      </w:r>
      <w:r w:rsidRPr="00627F71">
        <w:rPr>
          <w:rFonts w:ascii="Arial" w:hAnsi="Arial" w:cs="Arial"/>
          <w:sz w:val="20"/>
          <w:szCs w:val="20"/>
        </w:rPr>
        <w:t>Steven McCrary: smccrary01@tnstate.edu</w:t>
      </w:r>
      <w:r w:rsidRPr="000D0AC9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5272F" w:rsidRDefault="00E805BB"/>
    <w:sectPr w:rsidR="00E5272F" w:rsidSect="00E805BB">
      <w:headerReference w:type="default" r:id="rId14"/>
      <w:headerReference w:type="first" r:id="rId15"/>
      <w:pgSz w:w="12240" w:h="15840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AC9" w:rsidRDefault="000D0AC9" w:rsidP="000D0AC9">
      <w:r>
        <w:separator/>
      </w:r>
    </w:p>
  </w:endnote>
  <w:endnote w:type="continuationSeparator" w:id="0">
    <w:p w:rsidR="000D0AC9" w:rsidRDefault="000D0AC9" w:rsidP="000D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AC9" w:rsidRDefault="000D0AC9" w:rsidP="000D0AC9">
      <w:r>
        <w:separator/>
      </w:r>
    </w:p>
  </w:footnote>
  <w:footnote w:type="continuationSeparator" w:id="0">
    <w:p w:rsidR="000D0AC9" w:rsidRDefault="000D0AC9" w:rsidP="000D0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AC9" w:rsidRDefault="000D0AC9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BB" w:rsidRDefault="00E805BB" w:rsidP="00E805BB">
    <w:pPr>
      <w:pStyle w:val="Header"/>
      <w:jc w:val="center"/>
    </w:pPr>
    <w:r>
      <w:rPr>
        <w:noProof/>
      </w:rPr>
      <w:drawing>
        <wp:inline distT="0" distB="0" distL="0" distR="0" wp14:anchorId="19E939E9" wp14:editId="235F6FBF">
          <wp:extent cx="1828800" cy="74980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su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49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19E5"/>
    <w:multiLevelType w:val="hybridMultilevel"/>
    <w:tmpl w:val="3554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A50BA"/>
    <w:multiLevelType w:val="hybridMultilevel"/>
    <w:tmpl w:val="4CA6D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533BF"/>
    <w:multiLevelType w:val="hybridMultilevel"/>
    <w:tmpl w:val="D598E732"/>
    <w:lvl w:ilvl="0" w:tplc="E674B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45208"/>
    <w:multiLevelType w:val="hybridMultilevel"/>
    <w:tmpl w:val="AB8A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93B"/>
    <w:multiLevelType w:val="hybridMultilevel"/>
    <w:tmpl w:val="65144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67DDA"/>
    <w:multiLevelType w:val="hybridMultilevel"/>
    <w:tmpl w:val="DFD6A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63AFA"/>
    <w:multiLevelType w:val="hybridMultilevel"/>
    <w:tmpl w:val="1ABE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C9"/>
    <w:rsid w:val="000D0AC9"/>
    <w:rsid w:val="00311FC3"/>
    <w:rsid w:val="00627F71"/>
    <w:rsid w:val="00C25D30"/>
    <w:rsid w:val="00E8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CADB22D-89EA-4D75-A6BC-23AD37AB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AC9"/>
    <w:pPr>
      <w:spacing w:after="0" w:line="240" w:lineRule="auto"/>
    </w:pPr>
    <w:rPr>
      <w:rFonts w:ascii="Century Schoolbook" w:eastAsia="Times New Roman" w:hAnsi="Century Schoolbook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0A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0A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AC9"/>
    <w:rPr>
      <w:rFonts w:ascii="Century Schoolbook" w:eastAsia="Times New Roman" w:hAnsi="Century Schoolbook" w:cs="Times New Roman"/>
    </w:rPr>
  </w:style>
  <w:style w:type="paragraph" w:styleId="Footer">
    <w:name w:val="footer"/>
    <w:basedOn w:val="Normal"/>
    <w:link w:val="FooterChar"/>
    <w:uiPriority w:val="99"/>
    <w:unhideWhenUsed/>
    <w:rsid w:val="000D0A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AC9"/>
    <w:rPr>
      <w:rFonts w:ascii="Century Schoolbook" w:eastAsia="Times New Roman" w:hAnsi="Century School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.org/iso/home/store/catalogue_tc/catalogue_detail.htm?csnumber=58625" TargetMode="External"/><Relationship Id="rId13" Type="http://schemas.openxmlformats.org/officeDocument/2006/relationships/hyperlink" Target="mailto:Philip.Voorhees@tbr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3.org/TR/WCAG20/" TargetMode="External"/><Relationship Id="rId12" Type="http://schemas.openxmlformats.org/officeDocument/2006/relationships/hyperlink" Target="https://www.tbr.edu/sites/tbr.edu/files/media/2016/02/Conformance%20and%20Remediation%20Form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dpf.org/accessibility/guideline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itic.org/dotAsset/5644ecd2-5024-417f-bc23-a52650f47ef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cess-board.gov/guidelines-and-standards/communications-and-it/about-the-ict-refresh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 State Univeristy</Company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Jennifer</dc:creator>
  <cp:keywords/>
  <dc:description/>
  <cp:lastModifiedBy>Nelson, Jennifer</cp:lastModifiedBy>
  <cp:revision>3</cp:revision>
  <dcterms:created xsi:type="dcterms:W3CDTF">2018-01-22T21:51:00Z</dcterms:created>
  <dcterms:modified xsi:type="dcterms:W3CDTF">2018-01-26T17:38:00Z</dcterms:modified>
</cp:coreProperties>
</file>