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D98" w:rsidRPr="00C6220D" w:rsidRDefault="009F5D98" w:rsidP="009F5D98">
      <w:pPr>
        <w:spacing w:before="89"/>
        <w:ind w:left="100" w:right="116"/>
        <w:jc w:val="center"/>
        <w:rPr>
          <w:b/>
          <w:spacing w:val="20"/>
          <w:sz w:val="28"/>
          <w:szCs w:val="28"/>
        </w:rPr>
      </w:pPr>
      <w:r w:rsidRPr="00C6220D">
        <w:rPr>
          <w:b/>
          <w:spacing w:val="20"/>
          <w:sz w:val="28"/>
          <w:szCs w:val="28"/>
        </w:rPr>
        <w:t>F</w:t>
      </w:r>
      <w:r w:rsidR="000C71DF">
        <w:rPr>
          <w:b/>
          <w:spacing w:val="20"/>
          <w:sz w:val="28"/>
          <w:szCs w:val="28"/>
        </w:rPr>
        <w:t>iscal</w:t>
      </w:r>
      <w:r w:rsidRPr="00C6220D">
        <w:rPr>
          <w:b/>
          <w:spacing w:val="20"/>
          <w:sz w:val="28"/>
          <w:szCs w:val="28"/>
        </w:rPr>
        <w:t xml:space="preserve"> R</w:t>
      </w:r>
      <w:r w:rsidR="000C71DF">
        <w:rPr>
          <w:b/>
          <w:spacing w:val="20"/>
          <w:sz w:val="28"/>
          <w:szCs w:val="28"/>
        </w:rPr>
        <w:t>eview</w:t>
      </w:r>
      <w:r w:rsidRPr="00C6220D">
        <w:rPr>
          <w:b/>
          <w:spacing w:val="20"/>
          <w:sz w:val="28"/>
          <w:szCs w:val="28"/>
        </w:rPr>
        <w:t xml:space="preserve"> C</w:t>
      </w:r>
      <w:r w:rsidR="000C71DF">
        <w:rPr>
          <w:b/>
          <w:spacing w:val="20"/>
          <w:sz w:val="28"/>
          <w:szCs w:val="28"/>
        </w:rPr>
        <w:t>hecklist</w:t>
      </w:r>
      <w:bookmarkStart w:id="0" w:name="_GoBack"/>
      <w:bookmarkEnd w:id="0"/>
    </w:p>
    <w:p w:rsidR="009F5D98" w:rsidRDefault="009F5D98" w:rsidP="009F5D98">
      <w:pPr>
        <w:spacing w:before="89"/>
        <w:ind w:left="100" w:right="116"/>
        <w:jc w:val="center"/>
        <w:rPr>
          <w:sz w:val="24"/>
        </w:rPr>
      </w:pPr>
    </w:p>
    <w:p w:rsidR="001F433A" w:rsidRDefault="00AA2B91">
      <w:pPr>
        <w:spacing w:before="89"/>
        <w:ind w:left="100" w:right="116"/>
        <w:jc w:val="both"/>
        <w:rPr>
          <w:sz w:val="24"/>
        </w:rPr>
      </w:pPr>
      <w:r>
        <w:rPr>
          <w:sz w:val="24"/>
        </w:rPr>
        <w:t xml:space="preserve">A non-competitive amendment (that meets the $250,000 and over one year threshold) </w:t>
      </w:r>
      <w:r w:rsidRPr="00C71419">
        <w:rPr>
          <w:b/>
          <w:i/>
          <w:sz w:val="24"/>
          <w:u w:val="single"/>
        </w:rPr>
        <w:t>must</w:t>
      </w:r>
      <w:r>
        <w:rPr>
          <w:i/>
          <w:sz w:val="24"/>
        </w:rPr>
        <w:t xml:space="preserve"> </w:t>
      </w:r>
      <w:r>
        <w:rPr>
          <w:sz w:val="24"/>
        </w:rPr>
        <w:t xml:space="preserve">be presented to the Fiscal Review Committee (FRC), </w:t>
      </w:r>
      <w:r w:rsidRPr="00C71419">
        <w:rPr>
          <w:b/>
          <w:i/>
          <w:sz w:val="24"/>
          <w:u w:val="single"/>
        </w:rPr>
        <w:t>60 days prior to the proposed effective date</w:t>
      </w:r>
      <w:r>
        <w:rPr>
          <w:sz w:val="24"/>
        </w:rPr>
        <w:t xml:space="preserve">, if it meets </w:t>
      </w:r>
      <w:r w:rsidRPr="00C71419">
        <w:rPr>
          <w:b/>
          <w:i/>
          <w:sz w:val="24"/>
          <w:u w:val="single"/>
        </w:rPr>
        <w:t>any</w:t>
      </w:r>
      <w:r>
        <w:rPr>
          <w:i/>
          <w:sz w:val="24"/>
        </w:rPr>
        <w:t xml:space="preserve"> </w:t>
      </w:r>
      <w:r>
        <w:rPr>
          <w:sz w:val="24"/>
        </w:rPr>
        <w:t>of the following</w:t>
      </w:r>
      <w:r>
        <w:rPr>
          <w:spacing w:val="-7"/>
          <w:sz w:val="24"/>
        </w:rPr>
        <w:t xml:space="preserve"> </w:t>
      </w:r>
      <w:r>
        <w:rPr>
          <w:sz w:val="24"/>
        </w:rPr>
        <w:t>conditions:</w:t>
      </w:r>
    </w:p>
    <w:p w:rsidR="001F433A" w:rsidRDefault="001F433A">
      <w:pPr>
        <w:pStyle w:val="BodyText"/>
        <w:spacing w:before="1"/>
      </w:pPr>
    </w:p>
    <w:p w:rsidR="001F433A" w:rsidRDefault="00AA2B91">
      <w:pPr>
        <w:pStyle w:val="ListParagraph"/>
        <w:numPr>
          <w:ilvl w:val="0"/>
          <w:numId w:val="2"/>
        </w:numPr>
        <w:tabs>
          <w:tab w:val="left" w:pos="820"/>
          <w:tab w:val="left" w:pos="821"/>
        </w:tabs>
        <w:spacing w:line="293" w:lineRule="exact"/>
        <w:rPr>
          <w:sz w:val="24"/>
        </w:rPr>
      </w:pPr>
      <w:r>
        <w:rPr>
          <w:sz w:val="24"/>
        </w:rPr>
        <w:t>a non-competitive amendment</w:t>
      </w:r>
      <w:r>
        <w:rPr>
          <w:spacing w:val="-2"/>
          <w:sz w:val="24"/>
        </w:rPr>
        <w:t xml:space="preserve"> </w:t>
      </w:r>
      <w:r>
        <w:rPr>
          <w:sz w:val="24"/>
        </w:rPr>
        <w:t>requested;</w:t>
      </w:r>
    </w:p>
    <w:p w:rsidR="001F433A" w:rsidRDefault="00AA2B91">
      <w:pPr>
        <w:pStyle w:val="ListParagraph"/>
        <w:numPr>
          <w:ilvl w:val="0"/>
          <w:numId w:val="2"/>
        </w:numPr>
        <w:tabs>
          <w:tab w:val="left" w:pos="820"/>
          <w:tab w:val="left" w:pos="821"/>
        </w:tabs>
        <w:spacing w:line="292" w:lineRule="exact"/>
        <w:rPr>
          <w:sz w:val="24"/>
        </w:rPr>
      </w:pPr>
      <w:r>
        <w:rPr>
          <w:sz w:val="24"/>
        </w:rPr>
        <w:t>revises (increases or decreases) the maximum</w:t>
      </w:r>
      <w:r>
        <w:rPr>
          <w:spacing w:val="-1"/>
          <w:sz w:val="24"/>
        </w:rPr>
        <w:t xml:space="preserve"> </w:t>
      </w:r>
      <w:r>
        <w:rPr>
          <w:sz w:val="24"/>
        </w:rPr>
        <w:t>liability;</w:t>
      </w:r>
    </w:p>
    <w:p w:rsidR="001F433A" w:rsidRDefault="00AA2B91">
      <w:pPr>
        <w:pStyle w:val="ListParagraph"/>
        <w:numPr>
          <w:ilvl w:val="0"/>
          <w:numId w:val="2"/>
        </w:numPr>
        <w:tabs>
          <w:tab w:val="left" w:pos="820"/>
          <w:tab w:val="left" w:pos="821"/>
        </w:tabs>
        <w:ind w:right="116"/>
        <w:rPr>
          <w:sz w:val="24"/>
        </w:rPr>
      </w:pPr>
      <w:r>
        <w:rPr>
          <w:sz w:val="24"/>
        </w:rPr>
        <w:t>adds new services, deletes services or revises the scope of services in any manner;</w:t>
      </w:r>
    </w:p>
    <w:p w:rsidR="001F433A" w:rsidRDefault="00AA2B91">
      <w:pPr>
        <w:pStyle w:val="ListParagraph"/>
        <w:numPr>
          <w:ilvl w:val="0"/>
          <w:numId w:val="2"/>
        </w:numPr>
        <w:tabs>
          <w:tab w:val="left" w:pos="820"/>
          <w:tab w:val="left" w:pos="821"/>
        </w:tabs>
        <w:spacing w:line="292" w:lineRule="exact"/>
        <w:rPr>
          <w:sz w:val="24"/>
        </w:rPr>
      </w:pPr>
      <w:r>
        <w:rPr>
          <w:sz w:val="24"/>
        </w:rPr>
        <w:t>reflects name change, merger, acquisition, or change in control of a vendor;</w:t>
      </w:r>
      <w:r>
        <w:rPr>
          <w:spacing w:val="-17"/>
          <w:sz w:val="24"/>
        </w:rPr>
        <w:t xml:space="preserve"> </w:t>
      </w:r>
      <w:r>
        <w:rPr>
          <w:sz w:val="24"/>
        </w:rPr>
        <w:t>or</w:t>
      </w:r>
    </w:p>
    <w:p w:rsidR="001F433A" w:rsidRDefault="00AA2B91">
      <w:pPr>
        <w:pStyle w:val="ListParagraph"/>
        <w:numPr>
          <w:ilvl w:val="0"/>
          <w:numId w:val="2"/>
        </w:numPr>
        <w:tabs>
          <w:tab w:val="left" w:pos="821"/>
        </w:tabs>
        <w:ind w:right="114"/>
        <w:jc w:val="both"/>
        <w:rPr>
          <w:sz w:val="24"/>
        </w:rPr>
      </w:pPr>
      <w:proofErr w:type="gramStart"/>
      <w:r>
        <w:rPr>
          <w:sz w:val="24"/>
        </w:rPr>
        <w:t>revises</w:t>
      </w:r>
      <w:proofErr w:type="gramEnd"/>
      <w:r>
        <w:rPr>
          <w:sz w:val="24"/>
        </w:rPr>
        <w:t xml:space="preserve"> (extends or shortens) the original term of the contract unless provision for extension as well as funding for the potential term is included in the original contract.</w:t>
      </w:r>
    </w:p>
    <w:p w:rsidR="001F433A" w:rsidRDefault="001F433A">
      <w:pPr>
        <w:pStyle w:val="BodyText"/>
        <w:spacing w:before="8"/>
        <w:rPr>
          <w:sz w:val="23"/>
        </w:rPr>
      </w:pPr>
    </w:p>
    <w:p w:rsidR="001F433A" w:rsidRDefault="00AA2B91">
      <w:pPr>
        <w:pStyle w:val="BodyText"/>
        <w:ind w:left="100" w:right="122"/>
        <w:jc w:val="both"/>
      </w:pPr>
      <w:r>
        <w:t>Use the following checklist to ensure copies of the proper documents have been submitted to Fiscal Review Committee:</w:t>
      </w:r>
    </w:p>
    <w:p w:rsidR="001F433A" w:rsidRDefault="001F433A">
      <w:pPr>
        <w:pStyle w:val="BodyText"/>
      </w:pPr>
    </w:p>
    <w:p w:rsidR="001F433A" w:rsidRDefault="00AA2B91">
      <w:pPr>
        <w:pStyle w:val="ListParagraph"/>
        <w:numPr>
          <w:ilvl w:val="0"/>
          <w:numId w:val="1"/>
        </w:numPr>
        <w:tabs>
          <w:tab w:val="left" w:pos="820"/>
          <w:tab w:val="left" w:pos="821"/>
        </w:tabs>
        <w:ind w:right="355"/>
        <w:rPr>
          <w:sz w:val="24"/>
        </w:rPr>
      </w:pPr>
      <w:r>
        <w:rPr>
          <w:sz w:val="24"/>
        </w:rPr>
        <w:t>SUPPLEMENTAL DOCUMENTATION FORM – Form must be completely filled out with back-up documentation for current total</w:t>
      </w:r>
      <w:r>
        <w:rPr>
          <w:spacing w:val="-8"/>
          <w:sz w:val="24"/>
        </w:rPr>
        <w:t xml:space="preserve"> </w:t>
      </w:r>
      <w:r>
        <w:rPr>
          <w:sz w:val="24"/>
        </w:rPr>
        <w:t>expenditures.</w:t>
      </w:r>
    </w:p>
    <w:p w:rsidR="001F433A" w:rsidRDefault="001F433A">
      <w:pPr>
        <w:pStyle w:val="BodyText"/>
      </w:pPr>
    </w:p>
    <w:p w:rsidR="001F433A" w:rsidRDefault="00AA2B91">
      <w:pPr>
        <w:pStyle w:val="ListParagraph"/>
        <w:numPr>
          <w:ilvl w:val="0"/>
          <w:numId w:val="1"/>
        </w:numPr>
        <w:tabs>
          <w:tab w:val="left" w:pos="821"/>
        </w:tabs>
        <w:ind w:hanging="338"/>
        <w:rPr>
          <w:sz w:val="24"/>
        </w:rPr>
      </w:pPr>
      <w:r>
        <w:rPr>
          <w:sz w:val="24"/>
        </w:rPr>
        <w:t>APPROVED RULE EXCEPTION REQUESTS (if</w:t>
      </w:r>
      <w:r>
        <w:rPr>
          <w:spacing w:val="-4"/>
          <w:sz w:val="24"/>
        </w:rPr>
        <w:t xml:space="preserve"> </w:t>
      </w:r>
      <w:r>
        <w:rPr>
          <w:sz w:val="24"/>
        </w:rPr>
        <w:t>appropriate)</w:t>
      </w:r>
    </w:p>
    <w:p w:rsidR="001F433A" w:rsidRDefault="001F433A">
      <w:pPr>
        <w:pStyle w:val="BodyText"/>
        <w:spacing w:before="9"/>
        <w:rPr>
          <w:sz w:val="23"/>
        </w:rPr>
      </w:pPr>
    </w:p>
    <w:p w:rsidR="001F433A" w:rsidRDefault="00AA2B91">
      <w:pPr>
        <w:pStyle w:val="ListParagraph"/>
        <w:numPr>
          <w:ilvl w:val="0"/>
          <w:numId w:val="1"/>
        </w:numPr>
        <w:tabs>
          <w:tab w:val="left" w:pos="821"/>
        </w:tabs>
        <w:ind w:right="853" w:hanging="338"/>
        <w:rPr>
          <w:sz w:val="24"/>
        </w:rPr>
      </w:pPr>
      <w:r>
        <w:rPr>
          <w:sz w:val="24"/>
        </w:rPr>
        <w:t>COPY OF PERFORMANCE BOND IF REQUIRED IN THE CONTRACT</w:t>
      </w:r>
      <w:r>
        <w:rPr>
          <w:spacing w:val="-13"/>
          <w:sz w:val="24"/>
        </w:rPr>
        <w:t xml:space="preserve"> </w:t>
      </w:r>
      <w:r>
        <w:rPr>
          <w:sz w:val="24"/>
        </w:rPr>
        <w:t>(if performance bond must be renewed each year, a copy of the</w:t>
      </w:r>
      <w:r>
        <w:rPr>
          <w:spacing w:val="-20"/>
          <w:sz w:val="24"/>
        </w:rPr>
        <w:t xml:space="preserve"> </w:t>
      </w:r>
      <w:r>
        <w:rPr>
          <w:sz w:val="24"/>
        </w:rPr>
        <w:t>renewal)</w:t>
      </w:r>
    </w:p>
    <w:p w:rsidR="001F433A" w:rsidRDefault="001F433A">
      <w:pPr>
        <w:pStyle w:val="BodyText"/>
        <w:spacing w:before="1"/>
      </w:pPr>
    </w:p>
    <w:p w:rsidR="001F433A" w:rsidRDefault="00AA2B91">
      <w:pPr>
        <w:pStyle w:val="ListParagraph"/>
        <w:numPr>
          <w:ilvl w:val="0"/>
          <w:numId w:val="1"/>
        </w:numPr>
        <w:tabs>
          <w:tab w:val="left" w:pos="820"/>
          <w:tab w:val="left" w:pos="821"/>
        </w:tabs>
        <w:spacing w:line="275" w:lineRule="exact"/>
        <w:rPr>
          <w:sz w:val="24"/>
        </w:rPr>
      </w:pPr>
      <w:r>
        <w:rPr>
          <w:sz w:val="24"/>
        </w:rPr>
        <w:t>ORIGINAL</w:t>
      </w:r>
      <w:r>
        <w:rPr>
          <w:spacing w:val="-1"/>
          <w:sz w:val="24"/>
        </w:rPr>
        <w:t xml:space="preserve"> </w:t>
      </w:r>
      <w:r>
        <w:rPr>
          <w:sz w:val="24"/>
        </w:rPr>
        <w:t>CONTRACT</w:t>
      </w:r>
    </w:p>
    <w:p w:rsidR="001F433A" w:rsidRDefault="00AA2B91">
      <w:pPr>
        <w:pStyle w:val="BodyText"/>
        <w:spacing w:line="242" w:lineRule="auto"/>
        <w:ind w:left="1180" w:right="575"/>
      </w:pPr>
      <w:r>
        <w:t xml:space="preserve">If </w:t>
      </w:r>
      <w:r>
        <w:rPr>
          <w:i/>
        </w:rPr>
        <w:t xml:space="preserve">new </w:t>
      </w:r>
      <w:r>
        <w:t>non-competitive contract, actual language of the proposed contract (can be in draft form if necessary).</w:t>
      </w:r>
    </w:p>
    <w:p w:rsidR="001F433A" w:rsidRDefault="001F433A">
      <w:pPr>
        <w:pStyle w:val="BodyText"/>
        <w:spacing w:before="7"/>
        <w:rPr>
          <w:sz w:val="23"/>
        </w:rPr>
      </w:pPr>
    </w:p>
    <w:p w:rsidR="001F433A" w:rsidRDefault="00AA2B91">
      <w:pPr>
        <w:pStyle w:val="ListParagraph"/>
        <w:numPr>
          <w:ilvl w:val="0"/>
          <w:numId w:val="1"/>
        </w:numPr>
        <w:tabs>
          <w:tab w:val="left" w:pos="820"/>
          <w:tab w:val="left" w:pos="821"/>
        </w:tabs>
        <w:rPr>
          <w:sz w:val="24"/>
        </w:rPr>
      </w:pPr>
      <w:r>
        <w:rPr>
          <w:sz w:val="24"/>
        </w:rPr>
        <w:t>SUMMARY SHEET FOR CONTRACT (original or proposed)</w:t>
      </w:r>
    </w:p>
    <w:p w:rsidR="001F433A" w:rsidRDefault="001F433A">
      <w:pPr>
        <w:pStyle w:val="BodyText"/>
      </w:pPr>
    </w:p>
    <w:p w:rsidR="001F433A" w:rsidRDefault="00AA2B91">
      <w:pPr>
        <w:pStyle w:val="ListParagraph"/>
        <w:numPr>
          <w:ilvl w:val="0"/>
          <w:numId w:val="1"/>
        </w:numPr>
        <w:tabs>
          <w:tab w:val="left" w:pos="820"/>
          <w:tab w:val="left" w:pos="821"/>
        </w:tabs>
        <w:rPr>
          <w:sz w:val="24"/>
        </w:rPr>
      </w:pPr>
      <w:r>
        <w:rPr>
          <w:sz w:val="24"/>
        </w:rPr>
        <w:t>REQUEST FOR CONTRACT (competitive or non-competitive)</w:t>
      </w:r>
    </w:p>
    <w:p w:rsidR="001F433A" w:rsidRDefault="001F433A">
      <w:pPr>
        <w:pStyle w:val="BodyText"/>
      </w:pPr>
    </w:p>
    <w:p w:rsidR="001F433A" w:rsidRDefault="00AA2B91">
      <w:pPr>
        <w:pStyle w:val="ListParagraph"/>
        <w:numPr>
          <w:ilvl w:val="0"/>
          <w:numId w:val="1"/>
        </w:numPr>
        <w:tabs>
          <w:tab w:val="left" w:pos="820"/>
          <w:tab w:val="left" w:pos="821"/>
        </w:tabs>
        <w:rPr>
          <w:sz w:val="24"/>
        </w:rPr>
      </w:pPr>
      <w:r>
        <w:rPr>
          <w:sz w:val="24"/>
        </w:rPr>
        <w:t>ALL PRIOR EXECUTED</w:t>
      </w:r>
      <w:r>
        <w:rPr>
          <w:spacing w:val="-1"/>
          <w:sz w:val="24"/>
        </w:rPr>
        <w:t xml:space="preserve"> </w:t>
      </w:r>
      <w:r>
        <w:rPr>
          <w:sz w:val="24"/>
        </w:rPr>
        <w:t>AMENDMENTS</w:t>
      </w:r>
    </w:p>
    <w:p w:rsidR="001F433A" w:rsidRDefault="001F433A">
      <w:pPr>
        <w:pStyle w:val="BodyText"/>
      </w:pPr>
    </w:p>
    <w:p w:rsidR="001F433A" w:rsidRDefault="00AA2B91">
      <w:pPr>
        <w:pStyle w:val="ListParagraph"/>
        <w:numPr>
          <w:ilvl w:val="0"/>
          <w:numId w:val="1"/>
        </w:numPr>
        <w:tabs>
          <w:tab w:val="left" w:pos="820"/>
          <w:tab w:val="left" w:pos="821"/>
        </w:tabs>
        <w:rPr>
          <w:sz w:val="24"/>
        </w:rPr>
      </w:pPr>
      <w:r>
        <w:rPr>
          <w:sz w:val="24"/>
        </w:rPr>
        <w:t>SUMMARY SHEET FOR EACH PRIOR</w:t>
      </w:r>
      <w:r>
        <w:rPr>
          <w:spacing w:val="-5"/>
          <w:sz w:val="24"/>
        </w:rPr>
        <w:t xml:space="preserve"> </w:t>
      </w:r>
      <w:r>
        <w:rPr>
          <w:sz w:val="24"/>
        </w:rPr>
        <w:t>AMENDMENT</w:t>
      </w:r>
    </w:p>
    <w:p w:rsidR="001F433A" w:rsidRDefault="001F433A">
      <w:pPr>
        <w:pStyle w:val="BodyText"/>
        <w:spacing w:before="1"/>
      </w:pPr>
    </w:p>
    <w:p w:rsidR="001F433A" w:rsidRDefault="00AA2B91">
      <w:pPr>
        <w:pStyle w:val="ListParagraph"/>
        <w:numPr>
          <w:ilvl w:val="0"/>
          <w:numId w:val="1"/>
        </w:numPr>
        <w:tabs>
          <w:tab w:val="left" w:pos="820"/>
          <w:tab w:val="left" w:pos="821"/>
        </w:tabs>
        <w:rPr>
          <w:sz w:val="24"/>
        </w:rPr>
      </w:pPr>
      <w:r>
        <w:rPr>
          <w:sz w:val="24"/>
        </w:rPr>
        <w:t>ANY REVISED SUMMARY</w:t>
      </w:r>
      <w:r>
        <w:rPr>
          <w:spacing w:val="-7"/>
          <w:sz w:val="24"/>
        </w:rPr>
        <w:t xml:space="preserve"> </w:t>
      </w:r>
      <w:r>
        <w:rPr>
          <w:sz w:val="24"/>
        </w:rPr>
        <w:t>SHEETS</w:t>
      </w:r>
    </w:p>
    <w:p w:rsidR="001F433A" w:rsidRDefault="001F433A">
      <w:pPr>
        <w:pStyle w:val="BodyText"/>
      </w:pPr>
    </w:p>
    <w:p w:rsidR="001F433A" w:rsidRDefault="00AA2B91">
      <w:pPr>
        <w:pStyle w:val="ListParagraph"/>
        <w:numPr>
          <w:ilvl w:val="0"/>
          <w:numId w:val="1"/>
        </w:numPr>
        <w:tabs>
          <w:tab w:val="left" w:pos="820"/>
          <w:tab w:val="left" w:pos="821"/>
        </w:tabs>
        <w:spacing w:line="275" w:lineRule="exact"/>
        <w:rPr>
          <w:sz w:val="24"/>
        </w:rPr>
      </w:pPr>
      <w:r>
        <w:rPr>
          <w:sz w:val="24"/>
        </w:rPr>
        <w:t>REQUEST FORM FOR NON-COMPETITIVE AMENDMENT</w:t>
      </w:r>
    </w:p>
    <w:p w:rsidR="001F433A" w:rsidRDefault="00AA2B91">
      <w:pPr>
        <w:pStyle w:val="BodyText"/>
        <w:spacing w:line="242" w:lineRule="auto"/>
        <w:ind w:left="1180" w:right="388"/>
      </w:pPr>
      <w:r>
        <w:t xml:space="preserve">If </w:t>
      </w:r>
      <w:r>
        <w:rPr>
          <w:i/>
        </w:rPr>
        <w:t xml:space="preserve">new </w:t>
      </w:r>
      <w:r>
        <w:t>amendment, actual language of the proposed amendment (can be in draft form if necessary).</w:t>
      </w:r>
    </w:p>
    <w:p w:rsidR="001F433A" w:rsidRDefault="001F433A">
      <w:pPr>
        <w:pStyle w:val="BodyText"/>
        <w:spacing w:before="7"/>
        <w:rPr>
          <w:sz w:val="23"/>
        </w:rPr>
      </w:pPr>
    </w:p>
    <w:p w:rsidR="001F433A" w:rsidRDefault="00AA2B91">
      <w:pPr>
        <w:pStyle w:val="ListParagraph"/>
        <w:numPr>
          <w:ilvl w:val="0"/>
          <w:numId w:val="1"/>
        </w:numPr>
        <w:tabs>
          <w:tab w:val="left" w:pos="820"/>
          <w:tab w:val="left" w:pos="821"/>
        </w:tabs>
        <w:rPr>
          <w:sz w:val="24"/>
        </w:rPr>
      </w:pPr>
      <w:r>
        <w:rPr>
          <w:sz w:val="24"/>
        </w:rPr>
        <w:t>SUMMARY LETTER WITH ATTACHED</w:t>
      </w:r>
      <w:r>
        <w:rPr>
          <w:spacing w:val="-6"/>
          <w:sz w:val="24"/>
        </w:rPr>
        <w:t xml:space="preserve"> </w:t>
      </w:r>
      <w:r>
        <w:rPr>
          <w:sz w:val="24"/>
        </w:rPr>
        <w:t>FORM</w:t>
      </w:r>
    </w:p>
    <w:p w:rsidR="001F433A" w:rsidRDefault="00AA2B91">
      <w:pPr>
        <w:pStyle w:val="ListParagraph"/>
        <w:numPr>
          <w:ilvl w:val="1"/>
          <w:numId w:val="1"/>
        </w:numPr>
        <w:tabs>
          <w:tab w:val="left" w:pos="1900"/>
          <w:tab w:val="left" w:pos="1901"/>
        </w:tabs>
        <w:spacing w:before="1"/>
        <w:ind w:right="179"/>
        <w:rPr>
          <w:sz w:val="24"/>
        </w:rPr>
      </w:pPr>
      <w:r>
        <w:rPr>
          <w:sz w:val="24"/>
        </w:rPr>
        <w:t>Detailing terms of contract or amendment and the basic justification for the non-competitive</w:t>
      </w:r>
      <w:r>
        <w:rPr>
          <w:spacing w:val="-3"/>
          <w:sz w:val="24"/>
        </w:rPr>
        <w:t xml:space="preserve"> </w:t>
      </w:r>
      <w:r>
        <w:rPr>
          <w:sz w:val="24"/>
        </w:rPr>
        <w:t>procurement.</w:t>
      </w:r>
    </w:p>
    <w:p w:rsidR="001F433A" w:rsidRDefault="00AA2B91">
      <w:pPr>
        <w:pStyle w:val="ListParagraph"/>
        <w:numPr>
          <w:ilvl w:val="1"/>
          <w:numId w:val="1"/>
        </w:numPr>
        <w:tabs>
          <w:tab w:val="left" w:pos="1900"/>
          <w:tab w:val="left" w:pos="1901"/>
        </w:tabs>
        <w:spacing w:before="90"/>
        <w:ind w:right="882"/>
        <w:rPr>
          <w:sz w:val="24"/>
        </w:rPr>
      </w:pPr>
      <w:r>
        <w:rPr>
          <w:sz w:val="24"/>
        </w:rPr>
        <w:t xml:space="preserve">If request is submitted less than 60 days before effective date, a detailed </w:t>
      </w:r>
      <w:r>
        <w:rPr>
          <w:sz w:val="24"/>
        </w:rPr>
        <w:lastRenderedPageBreak/>
        <w:t>explanation for why the request is</w:t>
      </w:r>
      <w:r>
        <w:rPr>
          <w:spacing w:val="-8"/>
          <w:sz w:val="24"/>
        </w:rPr>
        <w:t xml:space="preserve"> </w:t>
      </w:r>
      <w:r>
        <w:rPr>
          <w:sz w:val="24"/>
        </w:rPr>
        <w:t>late.</w:t>
      </w:r>
    </w:p>
    <w:p w:rsidR="001F433A" w:rsidRDefault="001F433A">
      <w:pPr>
        <w:pStyle w:val="BodyText"/>
        <w:spacing w:before="10"/>
        <w:rPr>
          <w:sz w:val="23"/>
        </w:rPr>
      </w:pPr>
    </w:p>
    <w:p w:rsidR="001F433A" w:rsidRDefault="00AA2B91">
      <w:pPr>
        <w:pStyle w:val="ListParagraph"/>
        <w:numPr>
          <w:ilvl w:val="0"/>
          <w:numId w:val="1"/>
        </w:numPr>
        <w:tabs>
          <w:tab w:val="left" w:pos="820"/>
          <w:tab w:val="left" w:pos="821"/>
        </w:tabs>
        <w:rPr>
          <w:sz w:val="24"/>
        </w:rPr>
      </w:pPr>
      <w:r>
        <w:rPr>
          <w:sz w:val="24"/>
        </w:rPr>
        <w:t>ANY ADDITIONAL SUPPORTING</w:t>
      </w:r>
      <w:r>
        <w:rPr>
          <w:spacing w:val="-3"/>
          <w:sz w:val="24"/>
        </w:rPr>
        <w:t xml:space="preserve"> </w:t>
      </w:r>
      <w:r>
        <w:rPr>
          <w:sz w:val="24"/>
        </w:rPr>
        <w:t>DOCUMENTS</w:t>
      </w:r>
    </w:p>
    <w:p w:rsidR="001F433A" w:rsidRDefault="001F433A">
      <w:pPr>
        <w:pStyle w:val="BodyText"/>
      </w:pPr>
    </w:p>
    <w:p w:rsidR="001F433A" w:rsidRDefault="00AA2B91">
      <w:pPr>
        <w:pStyle w:val="ListParagraph"/>
        <w:numPr>
          <w:ilvl w:val="0"/>
          <w:numId w:val="1"/>
        </w:numPr>
        <w:tabs>
          <w:tab w:val="left" w:pos="820"/>
          <w:tab w:val="left" w:pos="821"/>
        </w:tabs>
        <w:ind w:right="2612"/>
        <w:rPr>
          <w:sz w:val="24"/>
        </w:rPr>
      </w:pPr>
      <w:r>
        <w:rPr>
          <w:sz w:val="24"/>
        </w:rPr>
        <w:t>FULLY EXECUTED COPY OF FINAL DOCUMENT IMMEDIATELY UPON RECEIPT BY THE</w:t>
      </w:r>
      <w:r>
        <w:rPr>
          <w:spacing w:val="-13"/>
          <w:sz w:val="24"/>
        </w:rPr>
        <w:t xml:space="preserve"> </w:t>
      </w:r>
      <w:r>
        <w:rPr>
          <w:sz w:val="24"/>
        </w:rPr>
        <w:t>DEPARTMENT</w:t>
      </w:r>
    </w:p>
    <w:p w:rsidR="001F433A" w:rsidRDefault="001F433A">
      <w:pPr>
        <w:pStyle w:val="BodyText"/>
      </w:pPr>
    </w:p>
    <w:p w:rsidR="001F433A" w:rsidRDefault="00AA2B91">
      <w:pPr>
        <w:pStyle w:val="BodyText"/>
        <w:ind w:left="460" w:right="229"/>
      </w:pPr>
      <w:r>
        <w:t>University will submit all renewals and amendments of any kind to Fiscal Review for review and approval per T.C.A. § 4-56-107.</w:t>
      </w:r>
    </w:p>
    <w:sectPr w:rsidR="001F433A" w:rsidSect="009F5D98">
      <w:headerReference w:type="default" r:id="rId7"/>
      <w:footerReference w:type="default" r:id="rId8"/>
      <w:pgSz w:w="12240" w:h="15840"/>
      <w:pgMar w:top="720" w:right="720" w:bottom="720" w:left="720" w:header="360" w:footer="106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8E6" w:rsidRDefault="00ED18E6">
      <w:r>
        <w:separator/>
      </w:r>
    </w:p>
  </w:endnote>
  <w:endnote w:type="continuationSeparator" w:id="0">
    <w:p w:rsidR="00ED18E6" w:rsidRDefault="00ED1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33A" w:rsidRDefault="009F5D98">
    <w:pPr>
      <w:pStyle w:val="BodyText"/>
      <w:spacing w:line="14" w:lineRule="auto"/>
      <w:rPr>
        <w:sz w:val="20"/>
      </w:rPr>
    </w:pPr>
    <w:r>
      <w:rPr>
        <w:noProof/>
        <w:lang w:bidi="ar-SA"/>
      </w:rPr>
      <mc:AlternateContent>
        <mc:Choice Requires="wps">
          <w:drawing>
            <wp:anchor distT="0" distB="0" distL="114300" distR="114300" simplePos="0" relativeHeight="503313440" behindDoc="1" locked="0" layoutInCell="1" allowOverlap="1">
              <wp:simplePos x="0" y="0"/>
              <wp:positionH relativeFrom="page">
                <wp:posOffset>6066155</wp:posOffset>
              </wp:positionH>
              <wp:positionV relativeFrom="page">
                <wp:posOffset>9238615</wp:posOffset>
              </wp:positionV>
              <wp:extent cx="807085" cy="196215"/>
              <wp:effectExtent l="0" t="0" r="381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433A" w:rsidRDefault="00AA2B91">
                          <w:pPr>
                            <w:pStyle w:val="BodyText"/>
                            <w:spacing w:before="12"/>
                            <w:ind w:left="20"/>
                          </w:pPr>
                          <w:r>
                            <w:t xml:space="preserve">Page </w:t>
                          </w:r>
                          <w:r>
                            <w:fldChar w:fldCharType="begin"/>
                          </w:r>
                          <w:r>
                            <w:instrText xml:space="preserve"> PAGE </w:instrText>
                          </w:r>
                          <w:r>
                            <w:fldChar w:fldCharType="separate"/>
                          </w:r>
                          <w:r w:rsidR="000C71DF">
                            <w:rPr>
                              <w:noProof/>
                            </w:rPr>
                            <w:t>1</w:t>
                          </w:r>
                          <w:r>
                            <w:fldChar w:fldCharType="end"/>
                          </w:r>
                          <w:r>
                            <w:t xml:space="preserve">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77.65pt;margin-top:727.45pt;width:63.55pt;height:15.45pt;z-index:-3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" filled="f" stroked="f">
              <v:textbox inset="0,0,0,0">
                <w:txbxContent>
                  <w:p w:rsidR="001F433A" w:rsidRDefault="00AA2B91">
                    <w:pPr>
                      <w:pStyle w:val="BodyText"/>
                      <w:spacing w:before="12"/>
                      <w:ind w:left="20"/>
                    </w:pPr>
                    <w:r>
                      <w:t xml:space="preserve">Page </w:t>
                    </w:r>
                    <w:r>
                      <w:fldChar w:fldCharType="begin"/>
                    </w:r>
                    <w:r>
                      <w:instrText xml:space="preserve"> PAGE </w:instrText>
                    </w:r>
                    <w:r>
                      <w:fldChar w:fldCharType="separate"/>
                    </w:r>
                    <w:r w:rsidR="000C71DF">
                      <w:rPr>
                        <w:noProof/>
                      </w:rPr>
                      <w:t>1</w:t>
                    </w:r>
                    <w:r>
                      <w:fldChar w:fldCharType="end"/>
                    </w:r>
                    <w:r>
                      <w:t xml:space="preserve"> of 2</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8E6" w:rsidRDefault="00ED18E6">
      <w:r>
        <w:separator/>
      </w:r>
    </w:p>
  </w:footnote>
  <w:footnote w:type="continuationSeparator" w:id="0">
    <w:p w:rsidR="00ED18E6" w:rsidRDefault="00ED18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33A" w:rsidRDefault="009F5D98">
    <w:pPr>
      <w:pStyle w:val="BodyText"/>
      <w:spacing w:line="14" w:lineRule="auto"/>
      <w:rPr>
        <w:sz w:val="20"/>
      </w:rPr>
    </w:pPr>
    <w:r w:rsidRPr="009F5D98">
      <w:rPr>
        <w:sz w:val="20"/>
      </w:rPr>
      <w:ptab w:relativeTo="margin" w:alignment="center" w:leader="none"/>
    </w:r>
    <w:r>
      <w:rPr>
        <w:noProof/>
        <w:sz w:val="20"/>
        <w:lang w:bidi="ar-SA"/>
      </w:rPr>
      <w:drawing>
        <wp:inline distT="0" distB="0" distL="0" distR="0">
          <wp:extent cx="1828800" cy="7498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su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8800" cy="749808"/>
                  </a:xfrm>
                  <a:prstGeom prst="rect">
                    <a:avLst/>
                  </a:prstGeom>
                </pic:spPr>
              </pic:pic>
            </a:graphicData>
          </a:graphic>
        </wp:inline>
      </w:drawing>
    </w:r>
    <w:r w:rsidRPr="009F5D98">
      <w:rPr>
        <w:sz w:val="20"/>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F81A24"/>
    <w:multiLevelType w:val="hybridMultilevel"/>
    <w:tmpl w:val="2066549A"/>
    <w:lvl w:ilvl="0" w:tplc="0D3AE5CA">
      <w:numFmt w:val="bullet"/>
      <w:lvlText w:val="□"/>
      <w:lvlJc w:val="left"/>
      <w:pPr>
        <w:ind w:left="820" w:hanging="360"/>
      </w:pPr>
      <w:rPr>
        <w:rFonts w:ascii="Arial" w:eastAsia="Arial" w:hAnsi="Arial" w:cs="Arial" w:hint="default"/>
        <w:spacing w:val="-3"/>
        <w:w w:val="99"/>
        <w:sz w:val="24"/>
        <w:szCs w:val="24"/>
        <w:lang w:val="en-US" w:eastAsia="en-US" w:bidi="en-US"/>
      </w:rPr>
    </w:lvl>
    <w:lvl w:ilvl="1" w:tplc="3662DD2E">
      <w:numFmt w:val="bullet"/>
      <w:lvlText w:val=""/>
      <w:lvlJc w:val="left"/>
      <w:pPr>
        <w:ind w:left="1900" w:hanging="360"/>
      </w:pPr>
      <w:rPr>
        <w:rFonts w:ascii="Symbol" w:eastAsia="Symbol" w:hAnsi="Symbol" w:cs="Symbol" w:hint="default"/>
        <w:w w:val="100"/>
        <w:sz w:val="24"/>
        <w:szCs w:val="24"/>
        <w:lang w:val="en-US" w:eastAsia="en-US" w:bidi="en-US"/>
      </w:rPr>
    </w:lvl>
    <w:lvl w:ilvl="2" w:tplc="E4DC6C4E">
      <w:numFmt w:val="bullet"/>
      <w:lvlText w:val="•"/>
      <w:lvlJc w:val="left"/>
      <w:pPr>
        <w:ind w:left="2753" w:hanging="360"/>
      </w:pPr>
      <w:rPr>
        <w:rFonts w:hint="default"/>
        <w:lang w:val="en-US" w:eastAsia="en-US" w:bidi="en-US"/>
      </w:rPr>
    </w:lvl>
    <w:lvl w:ilvl="3" w:tplc="8A88F944">
      <w:numFmt w:val="bullet"/>
      <w:lvlText w:val="•"/>
      <w:lvlJc w:val="left"/>
      <w:pPr>
        <w:ind w:left="3606" w:hanging="360"/>
      </w:pPr>
      <w:rPr>
        <w:rFonts w:hint="default"/>
        <w:lang w:val="en-US" w:eastAsia="en-US" w:bidi="en-US"/>
      </w:rPr>
    </w:lvl>
    <w:lvl w:ilvl="4" w:tplc="502C3FB0">
      <w:numFmt w:val="bullet"/>
      <w:lvlText w:val="•"/>
      <w:lvlJc w:val="left"/>
      <w:pPr>
        <w:ind w:left="4460" w:hanging="360"/>
      </w:pPr>
      <w:rPr>
        <w:rFonts w:hint="default"/>
        <w:lang w:val="en-US" w:eastAsia="en-US" w:bidi="en-US"/>
      </w:rPr>
    </w:lvl>
    <w:lvl w:ilvl="5" w:tplc="C33E979C">
      <w:numFmt w:val="bullet"/>
      <w:lvlText w:val="•"/>
      <w:lvlJc w:val="left"/>
      <w:pPr>
        <w:ind w:left="5313" w:hanging="360"/>
      </w:pPr>
      <w:rPr>
        <w:rFonts w:hint="default"/>
        <w:lang w:val="en-US" w:eastAsia="en-US" w:bidi="en-US"/>
      </w:rPr>
    </w:lvl>
    <w:lvl w:ilvl="6" w:tplc="C1EE6994">
      <w:numFmt w:val="bullet"/>
      <w:lvlText w:val="•"/>
      <w:lvlJc w:val="left"/>
      <w:pPr>
        <w:ind w:left="6166" w:hanging="360"/>
      </w:pPr>
      <w:rPr>
        <w:rFonts w:hint="default"/>
        <w:lang w:val="en-US" w:eastAsia="en-US" w:bidi="en-US"/>
      </w:rPr>
    </w:lvl>
    <w:lvl w:ilvl="7" w:tplc="B6962C6C">
      <w:numFmt w:val="bullet"/>
      <w:lvlText w:val="•"/>
      <w:lvlJc w:val="left"/>
      <w:pPr>
        <w:ind w:left="7020" w:hanging="360"/>
      </w:pPr>
      <w:rPr>
        <w:rFonts w:hint="default"/>
        <w:lang w:val="en-US" w:eastAsia="en-US" w:bidi="en-US"/>
      </w:rPr>
    </w:lvl>
    <w:lvl w:ilvl="8" w:tplc="A2BC8458">
      <w:numFmt w:val="bullet"/>
      <w:lvlText w:val="•"/>
      <w:lvlJc w:val="left"/>
      <w:pPr>
        <w:ind w:left="7873" w:hanging="360"/>
      </w:pPr>
      <w:rPr>
        <w:rFonts w:hint="default"/>
        <w:lang w:val="en-US" w:eastAsia="en-US" w:bidi="en-US"/>
      </w:rPr>
    </w:lvl>
  </w:abstractNum>
  <w:abstractNum w:abstractNumId="1" w15:restartNumberingAfterBreak="0">
    <w:nsid w:val="5F615D41"/>
    <w:multiLevelType w:val="hybridMultilevel"/>
    <w:tmpl w:val="8AD8F9FA"/>
    <w:lvl w:ilvl="0" w:tplc="91F296A6">
      <w:numFmt w:val="bullet"/>
      <w:lvlText w:val=""/>
      <w:lvlJc w:val="left"/>
      <w:pPr>
        <w:ind w:left="820" w:hanging="360"/>
      </w:pPr>
      <w:rPr>
        <w:rFonts w:ascii="Symbol" w:eastAsia="Symbol" w:hAnsi="Symbol" w:cs="Symbol" w:hint="default"/>
        <w:w w:val="100"/>
        <w:sz w:val="24"/>
        <w:szCs w:val="24"/>
        <w:lang w:val="en-US" w:eastAsia="en-US" w:bidi="en-US"/>
      </w:rPr>
    </w:lvl>
    <w:lvl w:ilvl="1" w:tplc="DBBA0570">
      <w:numFmt w:val="bullet"/>
      <w:lvlText w:val="•"/>
      <w:lvlJc w:val="left"/>
      <w:pPr>
        <w:ind w:left="1696" w:hanging="360"/>
      </w:pPr>
      <w:rPr>
        <w:rFonts w:hint="default"/>
        <w:lang w:val="en-US" w:eastAsia="en-US" w:bidi="en-US"/>
      </w:rPr>
    </w:lvl>
    <w:lvl w:ilvl="2" w:tplc="F24AA312">
      <w:numFmt w:val="bullet"/>
      <w:lvlText w:val="•"/>
      <w:lvlJc w:val="left"/>
      <w:pPr>
        <w:ind w:left="2572" w:hanging="360"/>
      </w:pPr>
      <w:rPr>
        <w:rFonts w:hint="default"/>
        <w:lang w:val="en-US" w:eastAsia="en-US" w:bidi="en-US"/>
      </w:rPr>
    </w:lvl>
    <w:lvl w:ilvl="3" w:tplc="8DCE972A">
      <w:numFmt w:val="bullet"/>
      <w:lvlText w:val="•"/>
      <w:lvlJc w:val="left"/>
      <w:pPr>
        <w:ind w:left="3448" w:hanging="360"/>
      </w:pPr>
      <w:rPr>
        <w:rFonts w:hint="default"/>
        <w:lang w:val="en-US" w:eastAsia="en-US" w:bidi="en-US"/>
      </w:rPr>
    </w:lvl>
    <w:lvl w:ilvl="4" w:tplc="B8D8B1DC">
      <w:numFmt w:val="bullet"/>
      <w:lvlText w:val="•"/>
      <w:lvlJc w:val="left"/>
      <w:pPr>
        <w:ind w:left="4324" w:hanging="360"/>
      </w:pPr>
      <w:rPr>
        <w:rFonts w:hint="default"/>
        <w:lang w:val="en-US" w:eastAsia="en-US" w:bidi="en-US"/>
      </w:rPr>
    </w:lvl>
    <w:lvl w:ilvl="5" w:tplc="C58E583C">
      <w:numFmt w:val="bullet"/>
      <w:lvlText w:val="•"/>
      <w:lvlJc w:val="left"/>
      <w:pPr>
        <w:ind w:left="5200" w:hanging="360"/>
      </w:pPr>
      <w:rPr>
        <w:rFonts w:hint="default"/>
        <w:lang w:val="en-US" w:eastAsia="en-US" w:bidi="en-US"/>
      </w:rPr>
    </w:lvl>
    <w:lvl w:ilvl="6" w:tplc="75C6B40A">
      <w:numFmt w:val="bullet"/>
      <w:lvlText w:val="•"/>
      <w:lvlJc w:val="left"/>
      <w:pPr>
        <w:ind w:left="6076" w:hanging="360"/>
      </w:pPr>
      <w:rPr>
        <w:rFonts w:hint="default"/>
        <w:lang w:val="en-US" w:eastAsia="en-US" w:bidi="en-US"/>
      </w:rPr>
    </w:lvl>
    <w:lvl w:ilvl="7" w:tplc="8F02E938">
      <w:numFmt w:val="bullet"/>
      <w:lvlText w:val="•"/>
      <w:lvlJc w:val="left"/>
      <w:pPr>
        <w:ind w:left="6952" w:hanging="360"/>
      </w:pPr>
      <w:rPr>
        <w:rFonts w:hint="default"/>
        <w:lang w:val="en-US" w:eastAsia="en-US" w:bidi="en-US"/>
      </w:rPr>
    </w:lvl>
    <w:lvl w:ilvl="8" w:tplc="BA4A2D82">
      <w:numFmt w:val="bullet"/>
      <w:lvlText w:val="•"/>
      <w:lvlJc w:val="left"/>
      <w:pPr>
        <w:ind w:left="7828" w:hanging="360"/>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33A"/>
    <w:rsid w:val="000C71DF"/>
    <w:rsid w:val="001F433A"/>
    <w:rsid w:val="009F5D98"/>
    <w:rsid w:val="00AA2B91"/>
    <w:rsid w:val="00C6220D"/>
    <w:rsid w:val="00C71419"/>
    <w:rsid w:val="00ED1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DA51B4-8844-4953-BEC9-9459467C6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F5D98"/>
    <w:pPr>
      <w:tabs>
        <w:tab w:val="center" w:pos="4680"/>
        <w:tab w:val="right" w:pos="9360"/>
      </w:tabs>
    </w:pPr>
  </w:style>
  <w:style w:type="character" w:customStyle="1" w:styleId="HeaderChar">
    <w:name w:val="Header Char"/>
    <w:basedOn w:val="DefaultParagraphFont"/>
    <w:link w:val="Header"/>
    <w:uiPriority w:val="99"/>
    <w:rsid w:val="009F5D98"/>
    <w:rPr>
      <w:rFonts w:ascii="Arial" w:eastAsia="Arial" w:hAnsi="Arial" w:cs="Arial"/>
      <w:lang w:bidi="en-US"/>
    </w:rPr>
  </w:style>
  <w:style w:type="paragraph" w:styleId="Footer">
    <w:name w:val="footer"/>
    <w:basedOn w:val="Normal"/>
    <w:link w:val="FooterChar"/>
    <w:uiPriority w:val="99"/>
    <w:unhideWhenUsed/>
    <w:rsid w:val="009F5D98"/>
    <w:pPr>
      <w:tabs>
        <w:tab w:val="center" w:pos="4680"/>
        <w:tab w:val="right" w:pos="9360"/>
      </w:tabs>
    </w:pPr>
  </w:style>
  <w:style w:type="character" w:customStyle="1" w:styleId="FooterChar">
    <w:name w:val="Footer Char"/>
    <w:basedOn w:val="DefaultParagraphFont"/>
    <w:link w:val="Footer"/>
    <w:uiPriority w:val="99"/>
    <w:rsid w:val="009F5D98"/>
    <w:rPr>
      <w:rFonts w:ascii="Arial" w:eastAsia="Arial" w:hAnsi="Arial" w:cs="Arial"/>
      <w:lang w:bidi="en-US"/>
    </w:rPr>
  </w:style>
  <w:style w:type="paragraph" w:styleId="BalloonText">
    <w:name w:val="Balloon Text"/>
    <w:basedOn w:val="Normal"/>
    <w:link w:val="BalloonTextChar"/>
    <w:uiPriority w:val="99"/>
    <w:semiHidden/>
    <w:unhideWhenUsed/>
    <w:rsid w:val="000C71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1DF"/>
    <w:rPr>
      <w:rFonts w:ascii="Segoe UI" w:eastAsia="Arial"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Fiscal Review Checklist</vt:lpstr>
    </vt:vector>
  </TitlesOfParts>
  <Company>Tennesse State Univeristy</Company>
  <LinksUpToDate>false</LinksUpToDate>
  <CharactersWithSpaces>2089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Fiscal Review Checklist</dc:title>
  <dc:subject>&amp;lt;p&amp;gt;A non-competitive amendment (that meets the $250,000 and over one year threshold) must be presented to the Fiscal Review Committee (FRC), 60 days prior to the proposed effective date, if it meets any of the following conditions:a non-competitive amendment request is submitted to OCR;revises (increases or decreases)&amp;lt;/p&amp;gt;</dc:subject>
  <dc:creator>purchasing purchasing</dc:creator>
  <cp:lastModifiedBy>Nelson, Jennifer</cp:lastModifiedBy>
  <cp:revision>5</cp:revision>
  <cp:lastPrinted>2017-11-20T16:21:00Z</cp:lastPrinted>
  <dcterms:created xsi:type="dcterms:W3CDTF">2017-11-20T15:32:00Z</dcterms:created>
  <dcterms:modified xsi:type="dcterms:W3CDTF">2017-11-20T16:38:00Z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2017-10-06T00:00:00Z</vt:filetime>
  </property>
  <property fmtid="{D5CDD505-2E9C-101B-9397-08002B2CF9AE}" pid="3" name="Creator">
    <vt:lpwstr>Microsoft® Word 2013</vt:lpwstr>
  </property>
  <property fmtid="{D5CDD505-2E9C-101B-9397-08002B2CF9AE}" pid="4" name="LastSaved">
    <vt:filetime>2017-11-20T00:00:00Z</vt:filetime>
  </property>
</Properties>
</file>