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1F497D"/>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trPr>
          <w:tblCellSpacing w:w="15" w:type="dxa"/>
        </w:trPr>
        <w:tc>
          <w:tcPr>
            <w:tcW w:w="0" w:type="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6"/>
              <w:gridCol w:w="5214"/>
            </w:tblGrid>
            <w:tr>
              <w:tc>
                <w:tcPr>
                  <w:tcW w:w="5392" w:type="dxa"/>
                </w:tcPr>
                <w:p>
                  <w:pPr>
                    <w:rPr>
                      <w:rFonts w:ascii="Times New Roman" w:eastAsia="Times New Roman" w:hAnsi="Times New Roman" w:cs="Times New Roman"/>
                      <w:sz w:val="24"/>
                      <w:szCs w:val="24"/>
                    </w:rPr>
                  </w:pPr>
                  <w:r>
                    <w:rPr>
                      <w:rFonts w:ascii="Calibri" w:eastAsia="Times New Roman" w:hAnsi="Calibri" w:cs="Times New Roman"/>
                      <w:noProof/>
                      <w:color w:val="000000"/>
                      <w:sz w:val="24"/>
                      <w:szCs w:val="24"/>
                    </w:rPr>
                    <w:drawing>
                      <wp:inline distT="0" distB="0" distL="0" distR="0">
                        <wp:extent cx="3409950" cy="847725"/>
                        <wp:effectExtent l="0" t="0" r="0" b="9525"/>
                        <wp:docPr id="1" name="Picture 1" descr="Insert Alt text he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 Alt text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847725"/>
                                </a:xfrm>
                                <a:prstGeom prst="rect">
                                  <a:avLst/>
                                </a:prstGeom>
                                <a:noFill/>
                                <a:ln>
                                  <a:noFill/>
                                </a:ln>
                              </pic:spPr>
                            </pic:pic>
                          </a:graphicData>
                        </a:graphic>
                      </wp:inline>
                    </w:drawing>
                  </w:r>
                </w:p>
              </w:tc>
              <w:tc>
                <w:tcPr>
                  <w:tcW w:w="5393" w:type="dxa"/>
                </w:tcPr>
                <w:p>
                  <w:pPr>
                    <w:pStyle w:val="Header"/>
                    <w:rPr>
                      <w:rFonts w:asciiTheme="minorHAnsi" w:hAnsiTheme="minorHAnsi"/>
                      <w:b/>
                      <w:sz w:val="48"/>
                      <w:szCs w:val="48"/>
                    </w:rPr>
                  </w:pPr>
                  <w:r>
                    <w:rPr>
                      <w:rFonts w:asciiTheme="minorHAnsi" w:hAnsiTheme="minorHAnsi"/>
                      <w:b/>
                      <w:sz w:val="48"/>
                      <w:szCs w:val="48"/>
                    </w:rPr>
                    <w:t>NEWS RELEASE</w:t>
                  </w:r>
                </w:p>
                <w:p>
                  <w:pPr>
                    <w:pStyle w:val="Header"/>
                    <w:rPr>
                      <w:rFonts w:ascii="Calibri" w:hAnsi="Calibri"/>
                    </w:rPr>
                  </w:pPr>
                  <w:r>
                    <w:t xml:space="preserve"> </w:t>
                  </w:r>
                  <w:hyperlink r:id="rId7" w:history="1">
                    <w:r>
                      <w:rPr>
                        <w:rStyle w:val="Hyperlink"/>
                        <w:rFonts w:ascii="Calibri" w:hAnsi="Calibri"/>
                      </w:rPr>
                      <w:t>Department of Media Relations</w:t>
                    </w:r>
                  </w:hyperlink>
                  <w:r>
                    <w:rPr>
                      <w:rFonts w:ascii="Calibri" w:hAnsi="Calibri"/>
                    </w:rPr>
                    <w:t xml:space="preserve"> | </w:t>
                  </w:r>
                  <w:hyperlink r:id="rId8" w:tgtFrame="_blank" w:history="1">
                    <w:r>
                      <w:rPr>
                        <w:rStyle w:val="Hyperlink"/>
                        <w:rFonts w:ascii="Calibri" w:hAnsi="Calibri"/>
                      </w:rPr>
                      <w:t>3500 John A. Merritt Blvd.</w:t>
                    </w:r>
                  </w:hyperlink>
                  <w:r>
                    <w:rPr>
                      <w:rFonts w:ascii="Calibri" w:hAnsi="Calibri"/>
                    </w:rPr>
                    <w:t xml:space="preserve"> | Nashville, TN 37209</w:t>
                  </w:r>
                </w:p>
                <w:p>
                  <w:pPr>
                    <w:pStyle w:val="Header"/>
                  </w:pPr>
                  <w:r>
                    <w:rPr>
                      <w:rFonts w:ascii="Calibri" w:hAnsi="Calibri"/>
                    </w:rPr>
                    <w:t xml:space="preserve">615.963.5331 | 615.963.5315 Fax | </w:t>
                  </w:r>
                  <w:hyperlink r:id="rId9" w:history="1">
                    <w:r>
                      <w:rPr>
                        <w:rStyle w:val="Hyperlink"/>
                        <w:rFonts w:ascii="Calibri" w:hAnsi="Calibri"/>
                      </w:rPr>
                      <w:t>tnstate.edu</w:t>
                    </w:r>
                  </w:hyperlink>
                  <w:r>
                    <w:t xml:space="preserve">       </w:t>
                  </w:r>
                </w:p>
                <w:p>
                  <w:pPr>
                    <w:rPr>
                      <w:rFonts w:ascii="Times New Roman" w:eastAsia="Times New Roman" w:hAnsi="Times New Roman" w:cs="Times New Roman"/>
                      <w:sz w:val="24"/>
                      <w:szCs w:val="24"/>
                    </w:rPr>
                  </w:pPr>
                </w:p>
              </w:tc>
            </w:tr>
          </w:tbl>
          <w:p>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align="center" o:hrstd="t" o:hrnoshade="t" o:hr="t" fillcolor="gray" stroked="f"/>
        </w:pict>
      </w:r>
    </w:p>
    <w:p>
      <w:pPr>
        <w:spacing w:after="0" w:line="240" w:lineRule="auto"/>
        <w:rPr>
          <w:rFonts w:ascii="Times New Roman" w:eastAsia="Times New Roman" w:hAnsi="Times New Roman" w:cs="Times New Roman"/>
          <w:sz w:val="36"/>
          <w:szCs w:val="36"/>
        </w:rPr>
      </w:pPr>
      <w:r>
        <w:rPr>
          <w:rFonts w:ascii="Calibri" w:eastAsia="Times New Roman" w:hAnsi="Calibri" w:cs="Times New Roman"/>
          <w:b/>
          <w:bCs/>
          <w:color w:val="000000"/>
          <w:sz w:val="36"/>
          <w:szCs w:val="36"/>
        </w:rPr>
        <w:t>Media Advisory</w:t>
      </w:r>
    </w:p>
    <w:p>
      <w:pPr>
        <w:shd w:val="clear" w:color="auto" w:fill="FFFFFF"/>
        <w:spacing w:after="0" w:line="240" w:lineRule="auto"/>
        <w:jc w:val="center"/>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lang w:val="x-none"/>
        </w:rPr>
        <w:t> </w:t>
      </w:r>
    </w:p>
    <w:p>
      <w:pPr>
        <w:shd w:val="clear" w:color="auto" w:fill="FFFFFF"/>
        <w:spacing w:after="0" w:line="240" w:lineRule="auto"/>
        <w:rPr>
          <w:rFonts w:ascii="Corbel" w:eastAsia="Times New Roman" w:hAnsi="Corbel" w:cs="Times New Roman"/>
          <w:b/>
          <w:bCs/>
          <w:color w:val="000000"/>
          <w:sz w:val="40"/>
          <w:szCs w:val="40"/>
        </w:rPr>
      </w:pPr>
      <w:r>
        <w:rPr>
          <w:rFonts w:ascii="Corbel" w:eastAsia="Times New Roman" w:hAnsi="Corbel" w:cs="Times New Roman"/>
          <w:b/>
          <w:bCs/>
          <w:color w:val="000000"/>
          <w:sz w:val="40"/>
          <w:szCs w:val="40"/>
        </w:rPr>
        <w:t>FOR IMMEDIATE RELEASE                                          (Date)</w:t>
      </w:r>
    </w:p>
    <w:p>
      <w:pPr>
        <w:shd w:val="clear" w:color="auto" w:fill="FFFFFF"/>
        <w:spacing w:after="0" w:line="240" w:lineRule="auto"/>
        <w:rPr>
          <w:rFonts w:ascii="Arial" w:eastAsia="Adobe Fangsong Std R" w:hAnsi="Arial" w:cs="Arial"/>
          <w:b/>
          <w:bCs/>
          <w:i/>
          <w:color w:val="000000"/>
          <w:sz w:val="28"/>
          <w:szCs w:val="28"/>
        </w:rPr>
      </w:pPr>
      <w:r>
        <w:rPr>
          <w:rFonts w:ascii="Arial" w:eastAsia="Adobe Fangsong Std R" w:hAnsi="Arial" w:cs="Arial"/>
          <w:bCs/>
          <w:i/>
          <w:color w:val="000000"/>
          <w:sz w:val="28"/>
          <w:szCs w:val="28"/>
        </w:rPr>
        <w:t xml:space="preserve">Department of Media Relations, 615.963.5331 / </w:t>
      </w:r>
      <w:r>
        <w:rPr>
          <w:rFonts w:ascii="Arial" w:eastAsia="Adobe Fangsong Std R" w:hAnsi="Arial" w:cs="Arial"/>
          <w:b/>
          <w:bCs/>
          <w:i/>
          <w:color w:val="000000"/>
          <w:sz w:val="28"/>
          <w:szCs w:val="28"/>
        </w:rPr>
        <w:t>229.347.5253</w:t>
      </w:r>
    </w:p>
    <w:p>
      <w:pPr>
        <w:shd w:val="clear" w:color="auto" w:fill="FFFFFF"/>
        <w:spacing w:after="0" w:line="240" w:lineRule="auto"/>
        <w:rPr>
          <w:rFonts w:ascii="Arial" w:eastAsia="Adobe Fangsong Std R" w:hAnsi="Arial" w:cs="Arial"/>
          <w:b/>
          <w:bCs/>
          <w:i/>
          <w:color w:val="000000"/>
          <w:sz w:val="28"/>
          <w:szCs w:val="28"/>
        </w:rPr>
      </w:pPr>
    </w:p>
    <w:p>
      <w:pPr>
        <w:shd w:val="clear" w:color="auto" w:fill="FFFFFF"/>
        <w:spacing w:after="0" w:line="240" w:lineRule="auto"/>
        <w:rPr>
          <w:rFonts w:ascii="Arial" w:eastAsia="Adobe Fangsong Std R" w:hAnsi="Arial" w:cs="Arial"/>
          <w:color w:val="000000"/>
          <w:sz w:val="28"/>
          <w:szCs w:val="28"/>
        </w:rPr>
      </w:pPr>
    </w:p>
    <w:p>
      <w:pPr>
        <w:shd w:val="clear" w:color="auto" w:fill="FFFFFF"/>
        <w:spacing w:after="0" w:line="240" w:lineRule="auto"/>
        <w:rPr>
          <w:rFonts w:ascii="Arial" w:eastAsia="Adobe Fangsong Std R" w:hAnsi="Arial" w:cs="Arial"/>
          <w:b/>
          <w:color w:val="000000"/>
          <w:sz w:val="28"/>
          <w:szCs w:val="28"/>
        </w:rPr>
      </w:pPr>
      <w:r>
        <w:rPr>
          <w:rFonts w:ascii="Arial" w:eastAsia="Adobe Fangsong Std R" w:hAnsi="Arial" w:cs="Arial"/>
          <w:b/>
          <w:color w:val="000000"/>
          <w:sz w:val="28"/>
          <w:szCs w:val="28"/>
        </w:rPr>
        <w:t>What:</w:t>
      </w:r>
    </w:p>
    <w:p>
      <w:pPr>
        <w:shd w:val="clear" w:color="auto" w:fill="FFFFFF"/>
        <w:spacing w:after="0" w:line="240" w:lineRule="auto"/>
        <w:rPr>
          <w:rFonts w:ascii="Arial" w:eastAsia="Adobe Fangsong Std R" w:hAnsi="Arial" w:cs="Arial"/>
          <w:color w:val="000000"/>
          <w:sz w:val="28"/>
          <w:szCs w:val="28"/>
        </w:rPr>
      </w:pPr>
    </w:p>
    <w:p>
      <w:pPr>
        <w:shd w:val="clear" w:color="auto" w:fill="FFFFFF"/>
        <w:spacing w:after="0" w:line="240" w:lineRule="auto"/>
        <w:rPr>
          <w:rFonts w:ascii="Arial" w:eastAsia="Adobe Fangsong Std R" w:hAnsi="Arial" w:cs="Arial"/>
          <w:b/>
          <w:color w:val="000000"/>
          <w:sz w:val="28"/>
          <w:szCs w:val="28"/>
        </w:rPr>
      </w:pPr>
      <w:r>
        <w:rPr>
          <w:rFonts w:ascii="Arial" w:eastAsia="Adobe Fangsong Std R" w:hAnsi="Arial" w:cs="Arial"/>
          <w:b/>
          <w:color w:val="000000"/>
          <w:sz w:val="28"/>
          <w:szCs w:val="28"/>
        </w:rPr>
        <w:t>When:</w:t>
      </w:r>
    </w:p>
    <w:p>
      <w:pPr>
        <w:shd w:val="clear" w:color="auto" w:fill="FFFFFF"/>
        <w:spacing w:after="0" w:line="240" w:lineRule="auto"/>
        <w:rPr>
          <w:rFonts w:ascii="Arial" w:eastAsia="Adobe Fangsong Std R" w:hAnsi="Arial" w:cs="Arial"/>
          <w:color w:val="000000"/>
          <w:sz w:val="28"/>
          <w:szCs w:val="28"/>
        </w:rPr>
      </w:pPr>
    </w:p>
    <w:p>
      <w:pPr>
        <w:shd w:val="clear" w:color="auto" w:fill="FFFFFF"/>
        <w:spacing w:after="0" w:line="240" w:lineRule="auto"/>
        <w:rPr>
          <w:rFonts w:ascii="Arial" w:eastAsia="Adobe Fangsong Std R" w:hAnsi="Arial" w:cs="Arial"/>
          <w:b/>
          <w:color w:val="000000"/>
          <w:sz w:val="28"/>
          <w:szCs w:val="28"/>
        </w:rPr>
      </w:pPr>
      <w:r>
        <w:rPr>
          <w:rFonts w:ascii="Arial" w:eastAsia="Adobe Fangsong Std R" w:hAnsi="Arial" w:cs="Arial"/>
          <w:b/>
          <w:color w:val="000000"/>
          <w:sz w:val="28"/>
          <w:szCs w:val="28"/>
        </w:rPr>
        <w:t>Where:</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x-none"/>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pacing w:after="0" w:line="240" w:lineRule="auto"/>
        <w:rPr>
          <w:rFonts w:ascii="Calibri" w:eastAsia="Times New Roman" w:hAnsi="Calibri" w:cs="Times New Roman"/>
          <w:color w:val="262626"/>
          <w:sz w:val="28"/>
          <w:szCs w:val="28"/>
        </w:rPr>
      </w:pPr>
      <w:r>
        <w:rPr>
          <w:rFonts w:ascii="Times New Roman" w:eastAsia="Times New Roman" w:hAnsi="Times New Roman" w:cs="Times New Roman"/>
          <w:color w:val="000000"/>
          <w:sz w:val="27"/>
          <w:szCs w:val="27"/>
        </w:rPr>
        <w:t> </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8"/>
          <w:szCs w:val="28"/>
          <w:lang w:val="x-none"/>
        </w:rPr>
        <w:t>About Tennessee State University</w:t>
      </w:r>
    </w:p>
    <w:p>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
    <w:p>
      <w:pPr>
        <w:shd w:val="clear" w:color="auto" w:fill="FFFFFF"/>
        <w:spacing w:after="0" w:line="240" w:lineRule="auto"/>
        <w:rPr>
          <w:rFonts w:ascii="Times New Roman" w:eastAsia="Times New Roman" w:hAnsi="Times New Roman" w:cs="Times New Roman"/>
          <w:color w:val="000000"/>
          <w:sz w:val="27"/>
          <w:szCs w:val="27"/>
        </w:rPr>
      </w:pPr>
      <w:r>
        <w:rPr>
          <w:rFonts w:ascii="Calibri" w:eastAsia="Times New Roman" w:hAnsi="Calibri" w:cs="Times New Roman"/>
          <w:color w:val="808080"/>
          <w:sz w:val="24"/>
          <w:szCs w:val="24"/>
        </w:rPr>
        <w:t>Tennessee</w:t>
      </w:r>
      <w:r>
        <w:rPr>
          <w:rFonts w:ascii="Calibri" w:eastAsia="Times New Roman" w:hAnsi="Calibri" w:cs="Times New Roman"/>
          <w:color w:val="808080"/>
          <w:sz w:val="24"/>
          <w:szCs w:val="24"/>
          <w:lang w:val="x-none"/>
        </w:rPr>
        <w:t xml:space="preserve"> State University is Nashville’s only public university, and is a comprehensive, urban, co-educational, land-grant university offering 38 undergraduate, 2</w:t>
      </w:r>
      <w:r>
        <w:rPr>
          <w:rFonts w:ascii="Calibri" w:eastAsia="Times New Roman" w:hAnsi="Calibri" w:cs="Times New Roman"/>
          <w:color w:val="808080"/>
          <w:sz w:val="24"/>
          <w:szCs w:val="24"/>
        </w:rPr>
        <w:t>5</w:t>
      </w:r>
      <w:r>
        <w:rPr>
          <w:rFonts w:ascii="Calibri" w:eastAsia="Times New Roman" w:hAnsi="Calibri" w:cs="Times New Roman"/>
          <w:color w:val="808080"/>
          <w:sz w:val="24"/>
          <w:szCs w:val="24"/>
          <w:lang w:val="x-none"/>
        </w:rPr>
        <w:t xml:space="preserve"> graduate</w:t>
      </w:r>
      <w:r>
        <w:rPr>
          <w:rFonts w:ascii="Calibri" w:eastAsia="Times New Roman" w:hAnsi="Calibri" w:cs="Times New Roman"/>
          <w:color w:val="808080"/>
          <w:sz w:val="24"/>
          <w:szCs w:val="24"/>
        </w:rPr>
        <w:t>,</w:t>
      </w:r>
      <w:r>
        <w:rPr>
          <w:rFonts w:ascii="Calibri" w:eastAsia="Times New Roman" w:hAnsi="Calibri" w:cs="Times New Roman"/>
          <w:color w:val="808080"/>
          <w:sz w:val="24"/>
          <w:szCs w:val="24"/>
          <w:lang w:val="x-none"/>
        </w:rPr>
        <w:t xml:space="preserve"> and </w:t>
      </w:r>
      <w:r>
        <w:rPr>
          <w:rFonts w:ascii="Calibri" w:eastAsia="Times New Roman" w:hAnsi="Calibri" w:cs="Times New Roman"/>
          <w:color w:val="808080"/>
          <w:sz w:val="24"/>
          <w:szCs w:val="24"/>
        </w:rPr>
        <w:t>7</w:t>
      </w:r>
      <w:r>
        <w:rPr>
          <w:rFonts w:ascii="Calibri" w:eastAsia="Times New Roman" w:hAnsi="Calibri" w:cs="Times New Roman"/>
          <w:color w:val="808080"/>
          <w:sz w:val="24"/>
          <w:szCs w:val="24"/>
          <w:lang w:val="x-none"/>
        </w:rPr>
        <w:t xml:space="preserve"> doctoral </w:t>
      </w:r>
      <w:r>
        <w:rPr>
          <w:rFonts w:ascii="Calibri" w:eastAsia="Times New Roman" w:hAnsi="Calibri" w:cs="Times New Roman"/>
          <w:color w:val="808080"/>
          <w:sz w:val="24"/>
          <w:szCs w:val="24"/>
        </w:rPr>
        <w:t>degree</w:t>
      </w:r>
      <w:r>
        <w:rPr>
          <w:rFonts w:ascii="Calibri" w:eastAsia="Times New Roman" w:hAnsi="Calibri" w:cs="Times New Roman"/>
          <w:color w:val="808080"/>
          <w:sz w:val="24"/>
          <w:szCs w:val="24"/>
          <w:lang w:val="x-none"/>
        </w:rPr>
        <w:t>s. TSU has earned a top 20 ranking for Historically Black Colleges and Universities according to U.S. News and World Report, and rated as one of the top universities in the country by Washington Monthly for social mobility, research and community service. Founded in 1912, Tennessee State University celebrated 100 years in Nashville during 2012. Visit the University online at </w:t>
      </w:r>
      <w:hyperlink r:id="rId10" w:history="1">
        <w:r>
          <w:rPr>
            <w:rStyle w:val="Hyperlink"/>
            <w:rFonts w:ascii="Calibri" w:hAnsi="Calibri"/>
            <w:lang w:val="x-none"/>
          </w:rPr>
          <w:t>www.tnstate.edu</w:t>
        </w:r>
      </w:hyperlink>
      <w:r>
        <w:rPr>
          <w:rFonts w:ascii="Calibri" w:eastAsia="Times New Roman" w:hAnsi="Calibri" w:cs="Times New Roman"/>
          <w:color w:val="808080"/>
          <w:sz w:val="24"/>
          <w:szCs w:val="24"/>
          <w:lang w:val="x-none"/>
        </w:rPr>
        <w:t>.</w:t>
      </w:r>
    </w:p>
    <w:p>
      <w:pPr>
        <w:spacing w:after="0" w:line="240" w:lineRule="auto"/>
        <w:rPr>
          <w:rFonts w:ascii="Times New Roman" w:eastAsia="Times New Roman" w:hAnsi="Times New Roman" w:cs="Times New Roman"/>
          <w:color w:val="000000"/>
          <w:sz w:val="27"/>
          <w:szCs w:val="27"/>
        </w:rPr>
      </w:pPr>
      <w:bookmarkStart w:id="0" w:name="_GoBack"/>
      <w:bookmarkEnd w:id="0"/>
      <w:r>
        <w:rPr>
          <w:rFonts w:ascii="Times New Roman" w:eastAsia="Times New Roman" w:hAnsi="Times New Roman" w:cs="Times New Roman"/>
          <w:color w:val="000000"/>
          <w:sz w:val="27"/>
          <w:szCs w:val="27"/>
        </w:rPr>
        <w:t> </w:t>
      </w:r>
    </w:p>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02718">
      <w:bodyDiv w:val="1"/>
      <w:marLeft w:val="0"/>
      <w:marRight w:val="0"/>
      <w:marTop w:val="0"/>
      <w:marBottom w:val="0"/>
      <w:divBdr>
        <w:top w:val="none" w:sz="0" w:space="0" w:color="auto"/>
        <w:left w:val="none" w:sz="0" w:space="0" w:color="auto"/>
        <w:bottom w:val="none" w:sz="0" w:space="0" w:color="auto"/>
        <w:right w:val="none" w:sz="0" w:space="0" w:color="auto"/>
      </w:divBdr>
    </w:div>
    <w:div w:id="6621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3500+John+A+Merritt+Blvd,+Nashville,+TN+37209/@36.1682498,-86.8282783,17z/data=!3m1!4b1!4m5!3m4!1s0x88646131c4ed9019:0xaf92e7a7ef3857b3!8m2!3d36.1682498!4d-86.8260896" TargetMode="External"/><Relationship Id="rId3" Type="http://schemas.openxmlformats.org/officeDocument/2006/relationships/settings" Target="settings.xml"/><Relationship Id="rId7" Type="http://schemas.openxmlformats.org/officeDocument/2006/relationships/hyperlink" Target="http://www.tnstate.edu/pr/expertise/news.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tnstate.edu/" TargetMode="External"/><Relationship Id="rId10" Type="http://schemas.openxmlformats.org/officeDocument/2006/relationships/hyperlink" Target="http://www.tnstate.edu/" TargetMode="External"/><Relationship Id="rId4" Type="http://schemas.openxmlformats.org/officeDocument/2006/relationships/webSettings" Target="webSettings.xml"/><Relationship Id="rId9" Type="http://schemas.openxmlformats.org/officeDocument/2006/relationships/hyperlink" Target="http://www.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2017-08-22T19:10:00Z</dcterms:created>
  <dcterms:modified xsi:type="dcterms:W3CDTF">2017-08-22T19:10:00Z</dcterms:modified>
</cp:coreProperties>
</file>