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5A" w:rsidRPr="0069655A" w:rsidRDefault="0069655A" w:rsidP="0069655A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69655A">
        <w:rPr>
          <w:rFonts w:ascii="Times New Roman" w:eastAsia="Times New Roman" w:hAnsi="Times New Roman" w:cs="Times New Roman"/>
          <w:b/>
          <w:bCs/>
          <w:color w:val="000000"/>
        </w:rPr>
        <w:t xml:space="preserve">HISTORY SENIOR PROJECT RUBRIC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53"/>
        <w:gridCol w:w="1783"/>
        <w:gridCol w:w="1723"/>
        <w:gridCol w:w="1741"/>
        <w:gridCol w:w="804"/>
      </w:tblGrid>
      <w:tr w:rsidR="0069655A" w:rsidRPr="0069655A" w:rsidTr="008466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Quality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No/Limited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Proficiency (1)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Some Proficiency (2)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Proficiency (3)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 Proficiency (4)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Rating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1. Thesis/Focus: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(a) Originality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Question and/or Thesis is missing.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4D2A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may be obvious or</w:t>
            </w:r>
            <w:r w:rsidR="004D2A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unimaginative. Somewhat general and not indicative of intense reading.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is reflective of general reading knowledge, but somewhat pedestrian.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develops fresh insight that challenges the reader’s thinking.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2. Thesis/Focus: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(b) Clarity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Reader cannot determine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question and/or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purpose.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and purpose are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somewhat vague.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and purpose are</w:t>
            </w:r>
          </w:p>
          <w:p w:rsidR="0069655A" w:rsidRPr="0069655A" w:rsidRDefault="0069655A" w:rsidP="001B19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fairly</w:t>
            </w:r>
            <w:proofErr w:type="gramEnd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clear, but could  be misconstrued.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and purpose are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clear to the reader.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3. Use of secondary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sources/familiarity with scholarly literature (applies primarily to conclusion</w:t>
            </w:r>
            <w:r w:rsidR="00F379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annotated bibliography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Neglects important secondary sources. Overuse of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quotations or paraphrasing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to substitute writer’s own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ideas. (Possibly uses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source material without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acknowledgement.)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References relevant secondary sources but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lacks in variety of sources. Does not fully grasp interpretative differences among scholars or where own thesis fits with existing literature.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Uses secondary sources to support, extend, and inform conclusion, but does not effectively compare or contrast thesis with scholarly interpretations that lead the field.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Uses secondary sources to support, extend, and inform own thesis, but not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substitute writer’s own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development of idea. Also makes strong argument in support of conclusion either for or against other interpretations that currently dominate the field.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4. Introduce topic, primary documents, and details (applies primarily to introduction)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Neglects to provide all of the Who, What, When, Where, and How details of topic. Also gives insufficient background regarding primary sources.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A4697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Provides some of the Who, What, When, Where, and How details, but not all. Generally fails to see connection between background questions and primary source materials.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Provides all of the background material relating to topic and primary source documents.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Provides all of the background material relating to topic and primary sources documents and understands the relationship of primary documents to their prospective audiences.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5. Organization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Unclear organization 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organizational plan is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inappropriate to thesis.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No transitions.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Some signs of logical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organization. May have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abrupt or illogical shifts and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ineffective flow of ideas.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Organization supports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 and purpose.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Transitions are mostly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appropriate. Sequence of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ideas could be improved.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Fully and imaginatively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supports thesis and purpose.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Sequence of ideas is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effective. Transitions 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effective. Writing flows and assists reader in following logic of ideas expressed.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6. Support/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Reasoning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(a) Ideas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(b) Details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Offers simplistic,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undeveloped, or cryptic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support for the ideas.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Inappropriate or off-topic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generalizations, faulty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assumptions, errors of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fact.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Offers somewhat obvious</w:t>
            </w:r>
            <w:r w:rsidR="00CA39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support that may be too</w:t>
            </w:r>
            <w:r w:rsidR="00CA39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broad. Details are too general,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not interpreted, irrelevant 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thesis, or inappropriately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repetitive.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Offers solid but less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original reasoning.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Assumptions are not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always recognized or</w:t>
            </w:r>
          </w:p>
          <w:p w:rsidR="0069655A" w:rsidRPr="0069655A" w:rsidRDefault="0069655A" w:rsidP="00CA399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made</w:t>
            </w:r>
            <w:proofErr w:type="gramEnd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explicit. </w:t>
            </w:r>
            <w:r w:rsidR="00CA39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ontains</w:t>
            </w:r>
            <w:r w:rsidR="00CA39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some appropriate details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or examples.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Substantial, logical, and concrete development of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ideas. Assumptions are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made explicit. Details 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germane, original, and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convincingly interpreted.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7. Clarity and Coherence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Sentence structure, word choice, lack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of transitions and/or sequencing of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ideas make reading and understanding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difficult.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Sentence structure and/or word choice sometimes interfere with clarity.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Needs to improve sequencing of ideas within paragraphs and transitions between paragraphs to make the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writing easy to follow.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Sentences are structured and varied words are chosen to communicate ideas clearly. Sequencing of ideas within paragraphs and transitions between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paragraphs make the writer’s points easy to follow.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 addition to meeting the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requirements of previous block, writing flows smoothly from one idea to another. The writer has taken pains to assist the reader in following the logic of the ideas expressed.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4D2A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STYLE</w:t>
            </w:r>
            <w:r w:rsidR="004D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GRAMMAR</w:t>
            </w:r>
            <w:r w:rsidR="004D2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AND PROFESSIONAL ETIQUETTE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No/Limited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Proficiency (1)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Some Proficiency (2)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Proficiency (3)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 Proficiency (4)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8. Knowledge of Conventions in grammar and </w:t>
            </w:r>
            <w:r w:rsidRPr="006965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Chicago Manual of Style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Writing contains numerous errors in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spelling, grammar, punctuation, and/or sentence structure which interfere with comprehension. Style and/or format are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inappropriate for the assignment. Fails to</w:t>
            </w:r>
          </w:p>
          <w:p w:rsidR="0069655A" w:rsidRPr="0069655A" w:rsidRDefault="0069655A" w:rsidP="008D29E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demonstrate</w:t>
            </w:r>
            <w:proofErr w:type="gramEnd"/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thoroughness and competenc</w:t>
            </w:r>
            <w:r w:rsidR="000D67F7">
              <w:rPr>
                <w:rFonts w:ascii="Times New Roman" w:eastAsia="Times New Roman" w:hAnsi="Times New Roman" w:cs="Times New Roman"/>
                <w:sz w:val="16"/>
                <w:szCs w:val="16"/>
              </w:rPr>
              <w:t>e in documentation according to t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he </w:t>
            </w:r>
            <w:r w:rsidRPr="006965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Chicago Manual of Style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Frequent errors in spelling, grammar (such as subject/verb agreements and tense), sentence structure and/or other writing conventions distract the reader. Writing does not consistently follow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appropriate style (CMS) and/or format. Source documentation is incomplete. It may be unclear which references are direct quotes and which are paraphrased.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While there may be minor errors, the paper follows normal conventions of spelling and grammar throughout and has been carefully proofread. Appropriate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conventions for style and format are used consistently throughout the writing sample. Demonstrates thoroughness and</w:t>
            </w:r>
          </w:p>
          <w:p w:rsidR="0069655A" w:rsidRPr="0069655A" w:rsidRDefault="0069655A" w:rsidP="00122B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competence in documenting sources; the</w:t>
            </w:r>
            <w:r w:rsidR="0012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reader would have little difficulty referring back to cited sources.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 addition to meeting the requirements mentioned previously, the writing is essentially error free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in terms of mechanics. Models the style and format appropriate to the assignment.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D2A88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4D2A88" w:rsidP="0069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 Making Deadlines</w:t>
            </w:r>
            <w:r w:rsidR="00240B72">
              <w:rPr>
                <w:rFonts w:ascii="Times New Roman" w:eastAsia="Times New Roman" w:hAnsi="Times New Roman" w:cs="Times New Roman"/>
                <w:sz w:val="16"/>
                <w:szCs w:val="16"/>
              </w:rPr>
              <w:t>, Making Revisions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4D2A88" w:rsidP="0069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Makes no effort </w:t>
            </w:r>
            <w:r w:rsidR="00240B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submit work on time.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240B72" w:rsidP="0069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Sporadic in submitting work by deadline. Continued submission of unrevised drafts.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240B72" w:rsidP="0024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Usually turns work in on time. Edited work generally is addressed. </w:t>
            </w:r>
            <w:r w:rsidR="005346D6">
              <w:rPr>
                <w:rFonts w:ascii="Times New Roman" w:eastAsia="Times New Roman" w:hAnsi="Times New Roman" w:cs="Times New Roman"/>
                <w:sz w:val="16"/>
                <w:szCs w:val="16"/>
              </w:rPr>
              <w:t>Some errors left uncorrected.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5346D6" w:rsidP="0069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Always makes deadlines. Edited work always is addressed. All errors are corrected.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88" w:rsidRPr="0069655A" w:rsidRDefault="004D2A88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ANNOTATED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DOCUMENTS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69655A" w:rsidRPr="0069655A" w:rsidTr="008466A4"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8466A4" w:rsidP="008466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69655A"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. Attention to documentation style (Chicago) and descriptive annotations.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Footnotes/endnotes are deficient in documentation style. Format is incorrect. Annotations are filled with spelling, typographical, punctuation, and structural errors.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122B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Some sporadic errors in style. Failure to punctuate correctly on a consistent basis. Generally under</w:t>
            </w:r>
            <w:r w:rsidR="008D29E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annotated. Annotations may be too brief and lacking in </w:t>
            </w:r>
            <w:r w:rsidR="00122B8D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etail.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122B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Footnotes/endnotes consistently adhere to correct style. Format is correct. Tends to be underannotated. Some of the annotations may be brief and erfunctory.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Times New Roman" w:eastAsia="Times New Roman" w:hAnsi="Times New Roman" w:cs="Times New Roman"/>
                <w:sz w:val="16"/>
                <w:szCs w:val="16"/>
              </w:rPr>
              <w:t>Annotated transcript is clean. No errors. Concepts as well as proper names are annotated. Annotations are informative and comprehensive.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5A" w:rsidRPr="0069655A" w:rsidRDefault="0069655A" w:rsidP="0069655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9655A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69655A" w:rsidRPr="0069655A" w:rsidRDefault="0069655A" w:rsidP="006965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9655A">
        <w:rPr>
          <w:rFonts w:ascii="Times New Roman" w:eastAsia="Times New Roman" w:hAnsi="Times New Roman" w:cs="Times New Roman"/>
          <w:color w:val="000000"/>
          <w:sz w:val="20"/>
          <w:szCs w:val="20"/>
        </w:rPr>
        <w:t>*The above rubric is an adaptation of several models. A listing of the sources would include: Northeastern Illinois University, Winthrop University, Virginia Community College System, University of Washington, California State University at Fresno, and Tennessee State University (Dr. Beth Dachowski).</w:t>
      </w:r>
    </w:p>
    <w:p w:rsidR="00172239" w:rsidRDefault="00172239"/>
    <w:sectPr w:rsidR="00172239" w:rsidSect="000F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5A"/>
    <w:rsid w:val="000D67F7"/>
    <w:rsid w:val="000F6827"/>
    <w:rsid w:val="00122B8D"/>
    <w:rsid w:val="00172239"/>
    <w:rsid w:val="001B192F"/>
    <w:rsid w:val="002237DC"/>
    <w:rsid w:val="00240B72"/>
    <w:rsid w:val="004D2A88"/>
    <w:rsid w:val="005346D6"/>
    <w:rsid w:val="0069655A"/>
    <w:rsid w:val="008466A4"/>
    <w:rsid w:val="008D29EC"/>
    <w:rsid w:val="008D2DAA"/>
    <w:rsid w:val="00A46979"/>
    <w:rsid w:val="00B3188A"/>
    <w:rsid w:val="00CA3998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1EB2B-BC72-4077-8C1B-4724FE2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bertrand</dc:creator>
  <cp:lastModifiedBy>Schmeller, Erik</cp:lastModifiedBy>
  <cp:revision>2</cp:revision>
  <dcterms:created xsi:type="dcterms:W3CDTF">2017-01-26T19:11:00Z</dcterms:created>
  <dcterms:modified xsi:type="dcterms:W3CDTF">2017-01-26T19:11:00Z</dcterms:modified>
</cp:coreProperties>
</file>