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96" w:rsidRDefault="00D11696" w:rsidP="00993328">
      <w:pPr>
        <w:jc w:val="center"/>
        <w:rPr>
          <w:b/>
          <w:sz w:val="28"/>
          <w:szCs w:val="28"/>
        </w:rPr>
      </w:pPr>
    </w:p>
    <w:p w:rsidR="00D11696" w:rsidRDefault="00D11696" w:rsidP="00993328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</w:rPr>
            <w:t>Tennessee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State</w:t>
          </w:r>
        </w:smartTag>
        <w:r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</w:rPr>
            <w:t>University</w:t>
          </w:r>
        </w:smartTag>
      </w:smartTag>
    </w:p>
    <w:p w:rsidR="0026133D" w:rsidRPr="00993328" w:rsidRDefault="0026133D" w:rsidP="00993328">
      <w:pPr>
        <w:jc w:val="center"/>
        <w:rPr>
          <w:b/>
          <w:sz w:val="28"/>
          <w:szCs w:val="28"/>
        </w:rPr>
      </w:pPr>
      <w:r w:rsidRPr="00993328">
        <w:rPr>
          <w:b/>
          <w:sz w:val="28"/>
          <w:szCs w:val="28"/>
        </w:rPr>
        <w:t>Hazardous Waste Emergency Contingency Plan</w:t>
      </w:r>
    </w:p>
    <w:p w:rsidR="00D468F8" w:rsidRDefault="00D468F8" w:rsidP="0026133D"/>
    <w:p w:rsidR="00D468F8" w:rsidRDefault="00D11696" w:rsidP="00642828">
      <w:smartTag w:uri="urn:schemas-microsoft-com:office:smarttags" w:element="place">
        <w:smartTag w:uri="urn:schemas-microsoft-com:office:smarttags" w:element="PlaceName">
          <w:r>
            <w:t>Tennessee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is committed to ensuring the safety of its employees, students and visitors on campus in all facets of daily operations and activities.  </w:t>
      </w:r>
      <w:r w:rsidR="00642828">
        <w:t xml:space="preserve">EPA and TDEC regulations require hazardous waste generators to have knowledge of and implement, as necessary, emergency procedures in the event of a chemical spill or release.  </w:t>
      </w:r>
      <w:r>
        <w:t>Therefore, w</w:t>
      </w:r>
      <w:r w:rsidR="00642828">
        <w:t>henever there is a spill or other emergency involving materials or hazardous wastes that present a danger to human health or life or to the environment, the following instructions must be followed</w:t>
      </w:r>
      <w:r>
        <w:t xml:space="preserve"> by all employees, staff and faculty</w:t>
      </w:r>
      <w:r w:rsidR="00642828">
        <w:t xml:space="preserve">:  </w:t>
      </w:r>
    </w:p>
    <w:p w:rsidR="00642828" w:rsidRDefault="00642828" w:rsidP="00642828"/>
    <w:p w:rsidR="00642828" w:rsidRDefault="00642828" w:rsidP="00642828">
      <w:pPr>
        <w:numPr>
          <w:ilvl w:val="0"/>
          <w:numId w:val="2"/>
        </w:numPr>
      </w:pPr>
      <w:r>
        <w:t xml:space="preserve">Where highly flammable liquids or gases are released, or there is danger of explosion,  follow campus fire emergency procedures:  </w:t>
      </w:r>
    </w:p>
    <w:p w:rsidR="00642828" w:rsidRDefault="00642828" w:rsidP="00642828"/>
    <w:p w:rsidR="00F06FE4" w:rsidRDefault="00642828" w:rsidP="00642828">
      <w:pPr>
        <w:numPr>
          <w:ilvl w:val="1"/>
          <w:numId w:val="2"/>
        </w:numPr>
      </w:pPr>
      <w:r>
        <w:t>If possible, contain the spill</w:t>
      </w:r>
      <w:r w:rsidR="00F06FE4">
        <w:t xml:space="preserve"> and close doors to the area.</w:t>
      </w:r>
    </w:p>
    <w:p w:rsidR="00642828" w:rsidRDefault="00F06FE4" w:rsidP="00642828">
      <w:pPr>
        <w:numPr>
          <w:ilvl w:val="1"/>
          <w:numId w:val="2"/>
        </w:numPr>
      </w:pPr>
      <w:r>
        <w:t>Activate the fire alarm.</w:t>
      </w:r>
    </w:p>
    <w:p w:rsidR="00F06FE4" w:rsidRDefault="00F06FE4" w:rsidP="00642828">
      <w:pPr>
        <w:numPr>
          <w:ilvl w:val="1"/>
          <w:numId w:val="2"/>
        </w:numPr>
      </w:pPr>
      <w:r>
        <w:t>Evacuate the area and building.  Do not use elevators.</w:t>
      </w:r>
    </w:p>
    <w:p w:rsidR="00642828" w:rsidRDefault="00642828" w:rsidP="00642828">
      <w:pPr>
        <w:numPr>
          <w:ilvl w:val="1"/>
          <w:numId w:val="2"/>
        </w:numPr>
      </w:pPr>
      <w:r>
        <w:t xml:space="preserve">Call TSU </w:t>
      </w:r>
      <w:r w:rsidR="00993328">
        <w:t>P</w:t>
      </w:r>
      <w:r>
        <w:t>olice at 5171</w:t>
      </w:r>
      <w:r w:rsidR="00F06FE4">
        <w:t>.</w:t>
      </w:r>
      <w:r w:rsidR="00993328">
        <w:t xml:space="preserve">  TSU Police will contact emergency response services.</w:t>
      </w:r>
    </w:p>
    <w:p w:rsidR="00F06FE4" w:rsidRDefault="00F06FE4" w:rsidP="002F12AA">
      <w:pPr>
        <w:numPr>
          <w:ilvl w:val="1"/>
          <w:numId w:val="2"/>
        </w:numPr>
      </w:pPr>
      <w:r>
        <w:t>Contact the Campus Office of Environmental Health and Safety at 5683 or 5202.</w:t>
      </w:r>
    </w:p>
    <w:p w:rsidR="00F06FE4" w:rsidRDefault="00F06FE4" w:rsidP="00642828">
      <w:pPr>
        <w:numPr>
          <w:ilvl w:val="1"/>
          <w:numId w:val="2"/>
        </w:numPr>
      </w:pPr>
      <w:r>
        <w:t xml:space="preserve">Remain outside the building until given the all clear by emergency </w:t>
      </w:r>
      <w:r w:rsidR="002F12AA">
        <w:t xml:space="preserve">response </w:t>
      </w:r>
      <w:r>
        <w:t>personnel.</w:t>
      </w:r>
    </w:p>
    <w:p w:rsidR="00642828" w:rsidRDefault="00642828" w:rsidP="00642828"/>
    <w:p w:rsidR="00642828" w:rsidRDefault="00642828" w:rsidP="00642828">
      <w:pPr>
        <w:numPr>
          <w:ilvl w:val="0"/>
          <w:numId w:val="2"/>
        </w:numPr>
      </w:pPr>
      <w:r>
        <w:t>Without jeopardizing personal safety, injured personnel should be removed from the site of the emergency.</w:t>
      </w:r>
    </w:p>
    <w:p w:rsidR="00642828" w:rsidRDefault="00642828" w:rsidP="00642828"/>
    <w:p w:rsidR="00642828" w:rsidRDefault="00642828" w:rsidP="00642828">
      <w:pPr>
        <w:numPr>
          <w:ilvl w:val="0"/>
          <w:numId w:val="2"/>
        </w:numPr>
      </w:pPr>
      <w:r>
        <w:t xml:space="preserve">Small Spills </w:t>
      </w:r>
      <w:r w:rsidR="002F12AA">
        <w:t xml:space="preserve">that do not involve an injury or present a fire or explosion hazard </w:t>
      </w:r>
      <w:r>
        <w:t xml:space="preserve">may be cleaned up by properly trained and equipped laboratory or shop personnel.  Clean-up materials shall be discarded as hazardous waste into appropriate </w:t>
      </w:r>
      <w:r w:rsidR="00993328">
        <w:t xml:space="preserve">waste </w:t>
      </w:r>
      <w:r>
        <w:t xml:space="preserve">containers.  </w:t>
      </w:r>
      <w:r w:rsidR="00F06FE4">
        <w:t xml:space="preserve">Each laboratory or shop should have an appropriate chemical spill clean-up kit. </w:t>
      </w:r>
    </w:p>
    <w:p w:rsidR="00642828" w:rsidRDefault="00642828" w:rsidP="00642828"/>
    <w:p w:rsidR="00642828" w:rsidRDefault="00F06FE4" w:rsidP="00642828">
      <w:pPr>
        <w:numPr>
          <w:ilvl w:val="0"/>
          <w:numId w:val="2"/>
        </w:numPr>
      </w:pPr>
      <w:r>
        <w:t>For larger spills or releases:</w:t>
      </w:r>
    </w:p>
    <w:p w:rsidR="00F06FE4" w:rsidRDefault="00F06FE4" w:rsidP="00F06FE4"/>
    <w:p w:rsidR="00F06FE4" w:rsidRDefault="00F06FE4" w:rsidP="00F06FE4">
      <w:pPr>
        <w:numPr>
          <w:ilvl w:val="1"/>
          <w:numId w:val="2"/>
        </w:numPr>
      </w:pPr>
      <w:r>
        <w:t>If possible, contain the spill and close doors to the area.</w:t>
      </w:r>
    </w:p>
    <w:p w:rsidR="00F06FE4" w:rsidRDefault="00F06FE4" w:rsidP="00F06FE4">
      <w:pPr>
        <w:numPr>
          <w:ilvl w:val="1"/>
          <w:numId w:val="2"/>
        </w:numPr>
      </w:pPr>
      <w:r>
        <w:t>Access the MSDS sheet for the chemical.</w:t>
      </w:r>
    </w:p>
    <w:p w:rsidR="00F06FE4" w:rsidRDefault="002F12AA" w:rsidP="00F06FE4">
      <w:pPr>
        <w:numPr>
          <w:ilvl w:val="1"/>
          <w:numId w:val="2"/>
        </w:numPr>
      </w:pPr>
      <w:r>
        <w:t>The area of the spill must be evacuated and secured</w:t>
      </w:r>
      <w:r w:rsidR="00F06FE4">
        <w:t xml:space="preserve">.  </w:t>
      </w:r>
      <w:r>
        <w:t>The evacuation are</w:t>
      </w:r>
      <w:r w:rsidR="00993328">
        <w:t>a</w:t>
      </w:r>
      <w:r>
        <w:t xml:space="preserve"> may range from the area immediately adjacent to the spill or release, </w:t>
      </w:r>
      <w:r w:rsidR="00F06FE4">
        <w:t>the laboratory, shop, floor, or entire building</w:t>
      </w:r>
      <w:r>
        <w:t>, or even larger areas depending upon the nature and quantity of the hazardous chemical released</w:t>
      </w:r>
      <w:r w:rsidR="00F06FE4">
        <w:t xml:space="preserve">.  </w:t>
      </w:r>
    </w:p>
    <w:p w:rsidR="00F06FE4" w:rsidRDefault="00F06FE4" w:rsidP="00F06FE4">
      <w:pPr>
        <w:numPr>
          <w:ilvl w:val="1"/>
          <w:numId w:val="2"/>
        </w:numPr>
      </w:pPr>
      <w:r>
        <w:t xml:space="preserve">If the chemical has come into contact with a person, </w:t>
      </w:r>
      <w:r w:rsidR="002F12AA">
        <w:t xml:space="preserve">follow the MSDS recommendations for first aid. </w:t>
      </w:r>
    </w:p>
    <w:p w:rsidR="002F12AA" w:rsidRDefault="002F12AA" w:rsidP="00993328">
      <w:pPr>
        <w:numPr>
          <w:ilvl w:val="1"/>
          <w:numId w:val="2"/>
        </w:numPr>
      </w:pPr>
      <w:r>
        <w:lastRenderedPageBreak/>
        <w:t xml:space="preserve">Contact TSU </w:t>
      </w:r>
      <w:r w:rsidR="00993328">
        <w:t>P</w:t>
      </w:r>
      <w:r>
        <w:t>olice at 5171</w:t>
      </w:r>
      <w:r w:rsidR="00993328">
        <w:t>.</w:t>
      </w:r>
      <w:r>
        <w:t xml:space="preserve"> </w:t>
      </w:r>
      <w:r w:rsidR="00993328">
        <w:t>TSU Police will contact emergency response services.</w:t>
      </w:r>
      <w:r w:rsidR="00E638EA">
        <w:t xml:space="preserve">  Be prepared to give as much data about the chemical spill as possible:  type of hazard, type of container, amount spilled, from what size of container, further leaks, where spill is moving, what has been done to contain it, </w:t>
      </w:r>
      <w:r w:rsidR="00D11696">
        <w:t xml:space="preserve">type and number of any injuries, </w:t>
      </w:r>
      <w:r w:rsidR="00E638EA">
        <w:t xml:space="preserve">etc. </w:t>
      </w:r>
    </w:p>
    <w:p w:rsidR="002F12AA" w:rsidRDefault="002F12AA" w:rsidP="00F06FE4">
      <w:pPr>
        <w:numPr>
          <w:ilvl w:val="1"/>
          <w:numId w:val="2"/>
        </w:numPr>
      </w:pPr>
      <w:r>
        <w:t xml:space="preserve">Notify supervisor, </w:t>
      </w:r>
      <w:r w:rsidR="00993328">
        <w:t xml:space="preserve">principal investigator, laboratory safety officer, </w:t>
      </w:r>
      <w:r>
        <w:t>department heads,</w:t>
      </w:r>
      <w:r w:rsidR="00993328">
        <w:t xml:space="preserve"> deans, and other pertinent personnel</w:t>
      </w:r>
      <w:r>
        <w:t>.</w:t>
      </w:r>
    </w:p>
    <w:p w:rsidR="002F12AA" w:rsidRDefault="002F12AA" w:rsidP="00F06FE4">
      <w:pPr>
        <w:numPr>
          <w:ilvl w:val="1"/>
          <w:numId w:val="2"/>
        </w:numPr>
      </w:pPr>
      <w:r>
        <w:t>Contact the Campus Office of Environmental Health and Safety at 5683 or 5202.</w:t>
      </w:r>
    </w:p>
    <w:p w:rsidR="002F12AA" w:rsidRDefault="002F12AA" w:rsidP="00F06FE4">
      <w:pPr>
        <w:numPr>
          <w:ilvl w:val="1"/>
          <w:numId w:val="2"/>
        </w:numPr>
      </w:pPr>
      <w:r>
        <w:t xml:space="preserve">Do not re-enter the building until given the all clear by emergency response personnel. </w:t>
      </w:r>
    </w:p>
    <w:p w:rsidR="002F12AA" w:rsidRDefault="002F12AA" w:rsidP="002F12AA"/>
    <w:p w:rsidR="002F12AA" w:rsidRDefault="002F12AA" w:rsidP="00E638EA">
      <w:pPr>
        <w:numPr>
          <w:ilvl w:val="0"/>
          <w:numId w:val="2"/>
        </w:numPr>
      </w:pPr>
      <w:r>
        <w:t xml:space="preserve">Clean up of larger spills </w:t>
      </w:r>
      <w:r w:rsidR="00D11696">
        <w:t xml:space="preserve">or </w:t>
      </w:r>
      <w:r>
        <w:t xml:space="preserve">releases:  </w:t>
      </w:r>
    </w:p>
    <w:p w:rsidR="00E638EA" w:rsidRDefault="00E638EA" w:rsidP="00E638EA"/>
    <w:p w:rsidR="00E638EA" w:rsidRDefault="00993328" w:rsidP="00E638EA">
      <w:pPr>
        <w:ind w:left="1440"/>
      </w:pPr>
      <w:r>
        <w:t xml:space="preserve">Call and consult with the Campus Office of Environmental Health and Safety.  </w:t>
      </w:r>
      <w:r w:rsidR="00E638EA">
        <w:t xml:space="preserve">The Tennessee Board of Regents has a contract with Environmental Program Consultants for clean-up response 24 hours a day, 7 days a week.  </w:t>
      </w:r>
    </w:p>
    <w:p w:rsidR="00E638EA" w:rsidRDefault="00E638EA" w:rsidP="00E638EA">
      <w:pPr>
        <w:ind w:left="1440"/>
      </w:pPr>
    </w:p>
    <w:p w:rsidR="00E638EA" w:rsidRDefault="00E638EA" w:rsidP="00E638EA">
      <w:pPr>
        <w:ind w:left="1440"/>
      </w:pPr>
      <w:r>
        <w:t xml:space="preserve">They may be reached by calling this number:  </w:t>
      </w:r>
    </w:p>
    <w:p w:rsidR="00E638EA" w:rsidRDefault="00E638EA" w:rsidP="00E638EA">
      <w:pPr>
        <w:ind w:left="1440"/>
      </w:pPr>
    </w:p>
    <w:p w:rsidR="00E638EA" w:rsidRPr="00E638EA" w:rsidRDefault="00E638EA" w:rsidP="00E638EA">
      <w:pPr>
        <w:ind w:left="1440"/>
        <w:jc w:val="center"/>
        <w:rPr>
          <w:sz w:val="32"/>
          <w:szCs w:val="32"/>
        </w:rPr>
      </w:pPr>
      <w:r>
        <w:rPr>
          <w:sz w:val="32"/>
          <w:szCs w:val="32"/>
        </w:rPr>
        <w:t>1-888-838-1255</w:t>
      </w:r>
    </w:p>
    <w:sectPr w:rsidR="00E638EA" w:rsidRPr="00E638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6A20"/>
    <w:multiLevelType w:val="hybridMultilevel"/>
    <w:tmpl w:val="7D34BFFA"/>
    <w:lvl w:ilvl="0" w:tplc="942CF5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E9588B"/>
    <w:multiLevelType w:val="hybridMultilevel"/>
    <w:tmpl w:val="E40097F8"/>
    <w:lvl w:ilvl="0" w:tplc="0409000F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stylePaneFormatFilter w:val="3F01"/>
  <w:defaultTabStop w:val="720"/>
  <w:characterSpacingControl w:val="doNotCompress"/>
  <w:compat/>
  <w:rsids>
    <w:rsidRoot w:val="0026133D"/>
    <w:rsid w:val="0026133D"/>
    <w:rsid w:val="002F12AA"/>
    <w:rsid w:val="004D1D1B"/>
    <w:rsid w:val="00642828"/>
    <w:rsid w:val="006E0CBF"/>
    <w:rsid w:val="00993328"/>
    <w:rsid w:val="009E2F7C"/>
    <w:rsid w:val="00C636A5"/>
    <w:rsid w:val="00D11696"/>
    <w:rsid w:val="00D468F8"/>
    <w:rsid w:val="00D66A15"/>
    <w:rsid w:val="00E638EA"/>
    <w:rsid w:val="00F0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 Emergency Contingency Plan</vt:lpstr>
    </vt:vector>
  </TitlesOfParts>
  <Company>TSU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 Emergency Contingency Plan</dc:title>
  <dc:creator>hralston</dc:creator>
  <cp:lastModifiedBy>scriswell</cp:lastModifiedBy>
  <cp:revision>2</cp:revision>
  <dcterms:created xsi:type="dcterms:W3CDTF">2011-03-30T17:01:00Z</dcterms:created>
  <dcterms:modified xsi:type="dcterms:W3CDTF">2011-03-30T17:01:00Z</dcterms:modified>
</cp:coreProperties>
</file>