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2621" w14:textId="7E2FF0B5" w:rsidR="002333B5" w:rsidRPr="00D55DE8" w:rsidRDefault="00D55DE8" w:rsidP="00D55DE8">
      <w:pPr>
        <w:jc w:val="center"/>
        <w:rPr>
          <w:b/>
          <w:bCs/>
          <w:color w:val="0F4761" w:themeColor="accent1" w:themeShade="BF"/>
          <w:sz w:val="32"/>
          <w:szCs w:val="32"/>
        </w:rPr>
      </w:pPr>
      <w:r w:rsidRPr="002333B5">
        <w:rPr>
          <w:b/>
          <w:bCs/>
          <w:color w:val="0F4761" w:themeColor="accent1" w:themeShade="BF"/>
          <w:sz w:val="32"/>
          <w:szCs w:val="32"/>
        </w:rPr>
        <w:t>Student Performance and Achievement Information</w:t>
      </w:r>
    </w:p>
    <w:p w14:paraId="54B70421" w14:textId="38014958" w:rsidR="00C36409" w:rsidRPr="006923F8" w:rsidRDefault="00C36409">
      <w:pPr>
        <w:rPr>
          <w:b/>
          <w:bCs/>
          <w:color w:val="215E99" w:themeColor="text2" w:themeTint="BF"/>
        </w:rPr>
      </w:pPr>
      <w:r w:rsidRPr="006923F8">
        <w:rPr>
          <w:b/>
          <w:bCs/>
          <w:color w:val="215E99" w:themeColor="text2" w:themeTint="BF"/>
        </w:rPr>
        <w:t>Annual Undergraduate AIT Enrollment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1079"/>
        <w:gridCol w:w="1079"/>
        <w:gridCol w:w="1079"/>
        <w:gridCol w:w="1079"/>
        <w:gridCol w:w="1079"/>
      </w:tblGrid>
      <w:tr w:rsidR="006923F8" w:rsidRPr="006923F8" w14:paraId="4D66C5CC" w14:textId="77777777" w:rsidTr="00B81A59">
        <w:trPr>
          <w:trHeight w:val="300"/>
        </w:trPr>
        <w:tc>
          <w:tcPr>
            <w:tcW w:w="2183" w:type="pct"/>
            <w:shd w:val="clear" w:color="auto" w:fill="auto"/>
            <w:noWrap/>
            <w:vAlign w:val="bottom"/>
            <w:hideMark/>
          </w:tcPr>
          <w:p w14:paraId="2ACB5104" w14:textId="77777777" w:rsidR="00C36409" w:rsidRPr="006923F8" w:rsidRDefault="00C36409" w:rsidP="00C47628">
            <w:pPr>
              <w:spacing w:after="0"/>
              <w:jc w:val="center"/>
              <w:rPr>
                <w:lang w:eastAsia="zh-CN"/>
              </w:rPr>
            </w:pPr>
          </w:p>
        </w:tc>
        <w:tc>
          <w:tcPr>
            <w:tcW w:w="563" w:type="pct"/>
            <w:tcBorders>
              <w:bottom w:val="single" w:sz="4" w:space="0" w:color="auto"/>
            </w:tcBorders>
            <w:shd w:val="clear" w:color="auto" w:fill="auto"/>
            <w:noWrap/>
            <w:vAlign w:val="bottom"/>
            <w:hideMark/>
          </w:tcPr>
          <w:p w14:paraId="54EFD8A6" w14:textId="77777777" w:rsidR="00C36409" w:rsidRPr="006923F8" w:rsidRDefault="00C36409" w:rsidP="00C47628">
            <w:pPr>
              <w:spacing w:after="0"/>
              <w:jc w:val="center"/>
              <w:rPr>
                <w:lang w:eastAsia="zh-CN"/>
              </w:rPr>
            </w:pPr>
            <w:r w:rsidRPr="006923F8">
              <w:rPr>
                <w:lang w:eastAsia="zh-CN"/>
              </w:rPr>
              <w:t>Fall 2020</w:t>
            </w:r>
          </w:p>
        </w:tc>
        <w:tc>
          <w:tcPr>
            <w:tcW w:w="563" w:type="pct"/>
            <w:tcBorders>
              <w:bottom w:val="single" w:sz="4" w:space="0" w:color="auto"/>
            </w:tcBorders>
            <w:shd w:val="clear" w:color="auto" w:fill="auto"/>
            <w:noWrap/>
            <w:vAlign w:val="bottom"/>
            <w:hideMark/>
          </w:tcPr>
          <w:p w14:paraId="10573C1D" w14:textId="77777777" w:rsidR="00C36409" w:rsidRPr="006923F8" w:rsidRDefault="00C36409" w:rsidP="00C47628">
            <w:pPr>
              <w:spacing w:after="0"/>
              <w:jc w:val="center"/>
              <w:rPr>
                <w:lang w:eastAsia="zh-CN"/>
              </w:rPr>
            </w:pPr>
            <w:r w:rsidRPr="006923F8">
              <w:rPr>
                <w:lang w:eastAsia="zh-CN"/>
              </w:rPr>
              <w:t>Fall 2021</w:t>
            </w:r>
          </w:p>
        </w:tc>
        <w:tc>
          <w:tcPr>
            <w:tcW w:w="563" w:type="pct"/>
            <w:tcBorders>
              <w:bottom w:val="single" w:sz="4" w:space="0" w:color="auto"/>
            </w:tcBorders>
            <w:shd w:val="clear" w:color="auto" w:fill="auto"/>
            <w:noWrap/>
            <w:vAlign w:val="bottom"/>
            <w:hideMark/>
          </w:tcPr>
          <w:p w14:paraId="7DA9D5E9" w14:textId="77777777" w:rsidR="00C36409" w:rsidRPr="006923F8" w:rsidRDefault="00C36409" w:rsidP="00C47628">
            <w:pPr>
              <w:spacing w:after="0"/>
              <w:jc w:val="center"/>
              <w:rPr>
                <w:lang w:eastAsia="zh-CN"/>
              </w:rPr>
            </w:pPr>
            <w:r w:rsidRPr="006923F8">
              <w:rPr>
                <w:lang w:eastAsia="zh-CN"/>
              </w:rPr>
              <w:t>Fall 2022</w:t>
            </w:r>
          </w:p>
        </w:tc>
        <w:tc>
          <w:tcPr>
            <w:tcW w:w="563" w:type="pct"/>
            <w:tcBorders>
              <w:bottom w:val="single" w:sz="4" w:space="0" w:color="auto"/>
            </w:tcBorders>
            <w:shd w:val="clear" w:color="auto" w:fill="auto"/>
            <w:noWrap/>
            <w:vAlign w:val="bottom"/>
            <w:hideMark/>
          </w:tcPr>
          <w:p w14:paraId="77804061" w14:textId="77777777" w:rsidR="00C36409" w:rsidRPr="006923F8" w:rsidRDefault="00C36409" w:rsidP="00C47628">
            <w:pPr>
              <w:spacing w:after="0"/>
              <w:jc w:val="center"/>
              <w:rPr>
                <w:lang w:eastAsia="zh-CN"/>
              </w:rPr>
            </w:pPr>
            <w:r w:rsidRPr="006923F8">
              <w:rPr>
                <w:lang w:eastAsia="zh-CN"/>
              </w:rPr>
              <w:t>Fall 2023</w:t>
            </w:r>
          </w:p>
        </w:tc>
        <w:tc>
          <w:tcPr>
            <w:tcW w:w="563" w:type="pct"/>
            <w:shd w:val="clear" w:color="auto" w:fill="auto"/>
            <w:noWrap/>
            <w:vAlign w:val="bottom"/>
            <w:hideMark/>
          </w:tcPr>
          <w:p w14:paraId="0E32C972" w14:textId="77777777" w:rsidR="00C36409" w:rsidRPr="006923F8" w:rsidRDefault="00C36409" w:rsidP="00C47628">
            <w:pPr>
              <w:spacing w:after="0"/>
              <w:jc w:val="center"/>
              <w:rPr>
                <w:lang w:eastAsia="zh-CN"/>
              </w:rPr>
            </w:pPr>
            <w:r w:rsidRPr="006923F8">
              <w:rPr>
                <w:lang w:eastAsia="zh-CN"/>
              </w:rPr>
              <w:t>Fall 2024</w:t>
            </w:r>
          </w:p>
        </w:tc>
      </w:tr>
      <w:tr w:rsidR="006923F8" w:rsidRPr="006923F8" w14:paraId="3EEF30A7" w14:textId="77777777" w:rsidTr="00B81A59">
        <w:trPr>
          <w:trHeight w:val="300"/>
        </w:trPr>
        <w:tc>
          <w:tcPr>
            <w:tcW w:w="2183" w:type="pct"/>
            <w:shd w:val="clear" w:color="auto" w:fill="auto"/>
            <w:noWrap/>
            <w:vAlign w:val="bottom"/>
            <w:hideMark/>
          </w:tcPr>
          <w:p w14:paraId="7ABF0377" w14:textId="77777777" w:rsidR="00C36409" w:rsidRPr="006923F8" w:rsidRDefault="00C36409" w:rsidP="00C47628">
            <w:pPr>
              <w:spacing w:after="0"/>
              <w:jc w:val="center"/>
              <w:rPr>
                <w:lang w:eastAsia="zh-CN"/>
              </w:rPr>
            </w:pPr>
            <w:r w:rsidRPr="006923F8">
              <w:rPr>
                <w:lang w:eastAsia="zh-CN"/>
              </w:rPr>
              <w:t>Concentration - Mechatronics Technology</w:t>
            </w:r>
          </w:p>
        </w:tc>
        <w:tc>
          <w:tcPr>
            <w:tcW w:w="563" w:type="pct"/>
            <w:shd w:val="clear" w:color="000000" w:fill="auto"/>
            <w:noWrap/>
            <w:vAlign w:val="bottom"/>
            <w:hideMark/>
          </w:tcPr>
          <w:p w14:paraId="0CF4DCB4" w14:textId="77777777" w:rsidR="00C36409" w:rsidRPr="006923F8" w:rsidRDefault="00C36409" w:rsidP="00C47628">
            <w:pPr>
              <w:spacing w:after="0"/>
              <w:jc w:val="center"/>
              <w:rPr>
                <w:lang w:eastAsia="zh-CN"/>
              </w:rPr>
            </w:pPr>
            <w:r w:rsidRPr="006923F8">
              <w:rPr>
                <w:lang w:eastAsia="zh-CN"/>
              </w:rPr>
              <w:t>4</w:t>
            </w:r>
          </w:p>
        </w:tc>
        <w:tc>
          <w:tcPr>
            <w:tcW w:w="563" w:type="pct"/>
            <w:shd w:val="clear" w:color="000000" w:fill="auto"/>
            <w:noWrap/>
            <w:vAlign w:val="bottom"/>
            <w:hideMark/>
          </w:tcPr>
          <w:p w14:paraId="28C38B3B" w14:textId="77777777" w:rsidR="00C36409" w:rsidRPr="006923F8" w:rsidRDefault="00C36409" w:rsidP="00C47628">
            <w:pPr>
              <w:spacing w:after="0"/>
              <w:jc w:val="center"/>
              <w:rPr>
                <w:lang w:eastAsia="zh-CN"/>
              </w:rPr>
            </w:pPr>
            <w:r w:rsidRPr="006923F8">
              <w:rPr>
                <w:lang w:eastAsia="zh-CN"/>
              </w:rPr>
              <w:t>4</w:t>
            </w:r>
          </w:p>
        </w:tc>
        <w:tc>
          <w:tcPr>
            <w:tcW w:w="563" w:type="pct"/>
            <w:shd w:val="clear" w:color="000000" w:fill="auto"/>
            <w:noWrap/>
            <w:vAlign w:val="bottom"/>
            <w:hideMark/>
          </w:tcPr>
          <w:p w14:paraId="70C125DB" w14:textId="77777777" w:rsidR="00C36409" w:rsidRPr="006923F8" w:rsidRDefault="00C36409" w:rsidP="00C47628">
            <w:pPr>
              <w:spacing w:after="0"/>
              <w:jc w:val="center"/>
              <w:rPr>
                <w:lang w:eastAsia="zh-CN"/>
              </w:rPr>
            </w:pPr>
            <w:r w:rsidRPr="006923F8">
              <w:rPr>
                <w:lang w:eastAsia="zh-CN"/>
              </w:rPr>
              <w:t>5</w:t>
            </w:r>
          </w:p>
        </w:tc>
        <w:tc>
          <w:tcPr>
            <w:tcW w:w="563" w:type="pct"/>
            <w:shd w:val="clear" w:color="000000" w:fill="auto"/>
            <w:noWrap/>
            <w:vAlign w:val="bottom"/>
            <w:hideMark/>
          </w:tcPr>
          <w:p w14:paraId="3CD63114" w14:textId="77777777" w:rsidR="00C36409" w:rsidRPr="006923F8" w:rsidRDefault="00C36409" w:rsidP="00C47628">
            <w:pPr>
              <w:spacing w:after="0"/>
              <w:jc w:val="center"/>
              <w:rPr>
                <w:lang w:eastAsia="zh-CN"/>
              </w:rPr>
            </w:pPr>
            <w:r w:rsidRPr="006923F8">
              <w:rPr>
                <w:lang w:eastAsia="zh-CN"/>
              </w:rPr>
              <w:t>12</w:t>
            </w:r>
          </w:p>
        </w:tc>
        <w:tc>
          <w:tcPr>
            <w:tcW w:w="563" w:type="pct"/>
            <w:shd w:val="clear" w:color="auto" w:fill="auto"/>
            <w:noWrap/>
            <w:vAlign w:val="bottom"/>
            <w:hideMark/>
          </w:tcPr>
          <w:p w14:paraId="0025A31D" w14:textId="77777777" w:rsidR="00C36409" w:rsidRPr="006923F8" w:rsidRDefault="00C36409" w:rsidP="00C47628">
            <w:pPr>
              <w:spacing w:after="0"/>
              <w:jc w:val="center"/>
              <w:rPr>
                <w:lang w:eastAsia="zh-CN"/>
              </w:rPr>
            </w:pPr>
            <w:r w:rsidRPr="006923F8">
              <w:rPr>
                <w:lang w:eastAsia="zh-CN"/>
              </w:rPr>
              <w:t>5</w:t>
            </w:r>
          </w:p>
        </w:tc>
      </w:tr>
      <w:tr w:rsidR="006923F8" w:rsidRPr="006923F8" w14:paraId="4C704987" w14:textId="77777777" w:rsidTr="00B81A59">
        <w:trPr>
          <w:trHeight w:val="300"/>
        </w:trPr>
        <w:tc>
          <w:tcPr>
            <w:tcW w:w="2183" w:type="pct"/>
            <w:shd w:val="clear" w:color="auto" w:fill="auto"/>
            <w:noWrap/>
            <w:vAlign w:val="bottom"/>
            <w:hideMark/>
          </w:tcPr>
          <w:p w14:paraId="792A5B72" w14:textId="77777777" w:rsidR="00C36409" w:rsidRPr="006923F8" w:rsidRDefault="00C36409" w:rsidP="00C47628">
            <w:pPr>
              <w:spacing w:after="0"/>
              <w:jc w:val="center"/>
              <w:rPr>
                <w:lang w:eastAsia="zh-CN"/>
              </w:rPr>
            </w:pPr>
            <w:r w:rsidRPr="006923F8">
              <w:rPr>
                <w:lang w:eastAsia="zh-CN"/>
              </w:rPr>
              <w:t>Concentration – Aviation Management</w:t>
            </w:r>
          </w:p>
        </w:tc>
        <w:tc>
          <w:tcPr>
            <w:tcW w:w="563" w:type="pct"/>
            <w:shd w:val="clear" w:color="000000" w:fill="auto"/>
            <w:noWrap/>
            <w:vAlign w:val="bottom"/>
            <w:hideMark/>
          </w:tcPr>
          <w:p w14:paraId="69031867" w14:textId="77777777" w:rsidR="00C36409" w:rsidRPr="006923F8" w:rsidRDefault="00C36409" w:rsidP="00C47628">
            <w:pPr>
              <w:spacing w:after="0"/>
              <w:jc w:val="center"/>
              <w:rPr>
                <w:lang w:eastAsia="zh-CN"/>
              </w:rPr>
            </w:pPr>
            <w:r w:rsidRPr="006923F8">
              <w:rPr>
                <w:lang w:eastAsia="zh-CN"/>
              </w:rPr>
              <w:t>64</w:t>
            </w:r>
          </w:p>
        </w:tc>
        <w:tc>
          <w:tcPr>
            <w:tcW w:w="563" w:type="pct"/>
            <w:shd w:val="clear" w:color="000000" w:fill="auto"/>
            <w:noWrap/>
            <w:vAlign w:val="bottom"/>
            <w:hideMark/>
          </w:tcPr>
          <w:p w14:paraId="36CC0827" w14:textId="77777777" w:rsidR="00C36409" w:rsidRPr="006923F8" w:rsidRDefault="00C36409" w:rsidP="00C47628">
            <w:pPr>
              <w:spacing w:after="0"/>
              <w:jc w:val="center"/>
              <w:rPr>
                <w:lang w:eastAsia="zh-CN"/>
              </w:rPr>
            </w:pPr>
            <w:r w:rsidRPr="006923F8">
              <w:rPr>
                <w:lang w:eastAsia="zh-CN"/>
              </w:rPr>
              <w:t>48</w:t>
            </w:r>
          </w:p>
        </w:tc>
        <w:tc>
          <w:tcPr>
            <w:tcW w:w="563" w:type="pct"/>
            <w:shd w:val="clear" w:color="000000" w:fill="auto"/>
            <w:noWrap/>
            <w:vAlign w:val="bottom"/>
            <w:hideMark/>
          </w:tcPr>
          <w:p w14:paraId="4C6186C0" w14:textId="77777777" w:rsidR="00C36409" w:rsidRPr="006923F8" w:rsidRDefault="00C36409" w:rsidP="00C47628">
            <w:pPr>
              <w:spacing w:after="0"/>
              <w:jc w:val="center"/>
              <w:rPr>
                <w:lang w:eastAsia="zh-CN"/>
              </w:rPr>
            </w:pPr>
            <w:r w:rsidRPr="006923F8">
              <w:rPr>
                <w:lang w:eastAsia="zh-CN"/>
              </w:rPr>
              <w:t>62</w:t>
            </w:r>
          </w:p>
        </w:tc>
        <w:tc>
          <w:tcPr>
            <w:tcW w:w="563" w:type="pct"/>
            <w:shd w:val="clear" w:color="000000" w:fill="auto"/>
            <w:noWrap/>
            <w:vAlign w:val="bottom"/>
            <w:hideMark/>
          </w:tcPr>
          <w:p w14:paraId="547B51A2" w14:textId="77777777" w:rsidR="00C36409" w:rsidRPr="006923F8" w:rsidRDefault="00C36409" w:rsidP="00C47628">
            <w:pPr>
              <w:spacing w:after="0"/>
              <w:jc w:val="center"/>
              <w:rPr>
                <w:lang w:eastAsia="zh-CN"/>
              </w:rPr>
            </w:pPr>
            <w:r w:rsidRPr="006923F8">
              <w:rPr>
                <w:lang w:eastAsia="zh-CN"/>
              </w:rPr>
              <w:t>68</w:t>
            </w:r>
          </w:p>
        </w:tc>
        <w:tc>
          <w:tcPr>
            <w:tcW w:w="563" w:type="pct"/>
            <w:shd w:val="clear" w:color="auto" w:fill="auto"/>
            <w:noWrap/>
            <w:vAlign w:val="bottom"/>
            <w:hideMark/>
          </w:tcPr>
          <w:p w14:paraId="19F7A48C" w14:textId="77777777" w:rsidR="00C36409" w:rsidRPr="006923F8" w:rsidRDefault="00C36409" w:rsidP="00C47628">
            <w:pPr>
              <w:spacing w:after="0"/>
              <w:jc w:val="center"/>
              <w:rPr>
                <w:lang w:eastAsia="zh-CN"/>
              </w:rPr>
            </w:pPr>
            <w:r w:rsidRPr="006923F8">
              <w:rPr>
                <w:lang w:eastAsia="zh-CN"/>
              </w:rPr>
              <w:t>40</w:t>
            </w:r>
          </w:p>
        </w:tc>
      </w:tr>
      <w:tr w:rsidR="006923F8" w:rsidRPr="006923F8" w14:paraId="48C56AF8" w14:textId="77777777" w:rsidTr="00B81A59">
        <w:trPr>
          <w:trHeight w:val="300"/>
        </w:trPr>
        <w:tc>
          <w:tcPr>
            <w:tcW w:w="2183" w:type="pct"/>
            <w:shd w:val="clear" w:color="auto" w:fill="auto"/>
            <w:noWrap/>
            <w:vAlign w:val="bottom"/>
            <w:hideMark/>
          </w:tcPr>
          <w:p w14:paraId="0AC1A281" w14:textId="77777777" w:rsidR="00C36409" w:rsidRPr="006923F8" w:rsidRDefault="00C36409" w:rsidP="00C47628">
            <w:pPr>
              <w:spacing w:after="0"/>
              <w:jc w:val="center"/>
              <w:rPr>
                <w:lang w:eastAsia="zh-CN"/>
              </w:rPr>
            </w:pPr>
            <w:r w:rsidRPr="006923F8">
              <w:rPr>
                <w:lang w:eastAsia="zh-CN"/>
              </w:rPr>
              <w:t xml:space="preserve">AIT (BS) total </w:t>
            </w:r>
          </w:p>
        </w:tc>
        <w:tc>
          <w:tcPr>
            <w:tcW w:w="563" w:type="pct"/>
            <w:shd w:val="clear" w:color="000000" w:fill="auto"/>
            <w:noWrap/>
            <w:vAlign w:val="bottom"/>
            <w:hideMark/>
          </w:tcPr>
          <w:p w14:paraId="4183D5E7" w14:textId="77777777" w:rsidR="00C36409" w:rsidRPr="006923F8" w:rsidRDefault="00C36409" w:rsidP="00C47628">
            <w:pPr>
              <w:spacing w:after="0"/>
              <w:jc w:val="center"/>
              <w:rPr>
                <w:lang w:eastAsia="zh-CN"/>
              </w:rPr>
            </w:pPr>
            <w:r w:rsidRPr="006923F8">
              <w:rPr>
                <w:lang w:eastAsia="zh-CN"/>
              </w:rPr>
              <w:t>68</w:t>
            </w:r>
          </w:p>
        </w:tc>
        <w:tc>
          <w:tcPr>
            <w:tcW w:w="563" w:type="pct"/>
            <w:shd w:val="clear" w:color="000000" w:fill="auto"/>
            <w:noWrap/>
            <w:vAlign w:val="bottom"/>
            <w:hideMark/>
          </w:tcPr>
          <w:p w14:paraId="79B1CABE" w14:textId="77777777" w:rsidR="00C36409" w:rsidRPr="006923F8" w:rsidRDefault="00C36409" w:rsidP="00C47628">
            <w:pPr>
              <w:spacing w:after="0"/>
              <w:jc w:val="center"/>
              <w:rPr>
                <w:lang w:eastAsia="zh-CN"/>
              </w:rPr>
            </w:pPr>
            <w:r w:rsidRPr="006923F8">
              <w:rPr>
                <w:lang w:eastAsia="zh-CN"/>
              </w:rPr>
              <w:t>52</w:t>
            </w:r>
          </w:p>
        </w:tc>
        <w:tc>
          <w:tcPr>
            <w:tcW w:w="563" w:type="pct"/>
            <w:shd w:val="clear" w:color="000000" w:fill="auto"/>
            <w:noWrap/>
            <w:vAlign w:val="bottom"/>
            <w:hideMark/>
          </w:tcPr>
          <w:p w14:paraId="34BBD455" w14:textId="77777777" w:rsidR="00C36409" w:rsidRPr="006923F8" w:rsidRDefault="00C36409" w:rsidP="00C47628">
            <w:pPr>
              <w:spacing w:after="0"/>
              <w:jc w:val="center"/>
              <w:rPr>
                <w:lang w:eastAsia="zh-CN"/>
              </w:rPr>
            </w:pPr>
            <w:r w:rsidRPr="006923F8">
              <w:rPr>
                <w:lang w:eastAsia="zh-CN"/>
              </w:rPr>
              <w:t>67</w:t>
            </w:r>
          </w:p>
        </w:tc>
        <w:tc>
          <w:tcPr>
            <w:tcW w:w="563" w:type="pct"/>
            <w:shd w:val="clear" w:color="000000" w:fill="auto"/>
            <w:noWrap/>
            <w:vAlign w:val="bottom"/>
            <w:hideMark/>
          </w:tcPr>
          <w:p w14:paraId="24CD9DB8" w14:textId="77777777" w:rsidR="00C36409" w:rsidRPr="006923F8" w:rsidRDefault="00C36409" w:rsidP="00C47628">
            <w:pPr>
              <w:spacing w:after="0"/>
              <w:jc w:val="center"/>
              <w:rPr>
                <w:lang w:eastAsia="zh-CN"/>
              </w:rPr>
            </w:pPr>
            <w:r w:rsidRPr="006923F8">
              <w:rPr>
                <w:lang w:eastAsia="zh-CN"/>
              </w:rPr>
              <w:t>80</w:t>
            </w:r>
          </w:p>
        </w:tc>
        <w:tc>
          <w:tcPr>
            <w:tcW w:w="563" w:type="pct"/>
            <w:shd w:val="clear" w:color="auto" w:fill="auto"/>
            <w:noWrap/>
            <w:vAlign w:val="bottom"/>
            <w:hideMark/>
          </w:tcPr>
          <w:p w14:paraId="7F285157" w14:textId="77777777" w:rsidR="00C36409" w:rsidRPr="006923F8" w:rsidRDefault="00C36409" w:rsidP="00C47628">
            <w:pPr>
              <w:spacing w:after="0"/>
              <w:jc w:val="center"/>
              <w:rPr>
                <w:lang w:eastAsia="zh-CN"/>
              </w:rPr>
            </w:pPr>
            <w:r w:rsidRPr="006923F8">
              <w:rPr>
                <w:lang w:eastAsia="zh-CN"/>
              </w:rPr>
              <w:t>45</w:t>
            </w:r>
          </w:p>
        </w:tc>
      </w:tr>
    </w:tbl>
    <w:p w14:paraId="49DC7D9A" w14:textId="77777777" w:rsidR="00C36409" w:rsidRPr="006923F8" w:rsidRDefault="00C36409"/>
    <w:p w14:paraId="37801278" w14:textId="39D64F29" w:rsidR="00916D45" w:rsidRPr="006923F8" w:rsidRDefault="00916D45" w:rsidP="00916D45">
      <w:r>
        <w:rPr>
          <w:b/>
          <w:bCs/>
          <w:color w:val="215E99" w:themeColor="text2" w:themeTint="BF"/>
        </w:rPr>
        <w:t>Graduat</w:t>
      </w:r>
      <w:r w:rsidR="00085C91">
        <w:rPr>
          <w:b/>
          <w:bCs/>
          <w:color w:val="215E99" w:themeColor="text2" w:themeTint="BF"/>
        </w:rPr>
        <w:t>ion</w:t>
      </w:r>
      <w:r w:rsidRPr="006923F8">
        <w:rPr>
          <w:b/>
          <w:bCs/>
          <w:color w:val="215E99" w:themeColor="text2" w:themeTint="BF"/>
        </w:rPr>
        <w:t xml:space="preserve"> Rate</w:t>
      </w:r>
      <w:r w:rsidRPr="006923F8">
        <w:t xml:space="preserve">: </w:t>
      </w:r>
      <w:r w:rsidR="00085C91" w:rsidRPr="00085C91">
        <w:t xml:space="preserve">First-Time Full-Time Freshmen 6-Year Graduation Rate </w:t>
      </w:r>
      <w:r w:rsidRPr="006923F8">
        <w:t>is shown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1194"/>
        <w:gridCol w:w="1194"/>
        <w:gridCol w:w="1194"/>
        <w:gridCol w:w="1194"/>
        <w:gridCol w:w="1194"/>
      </w:tblGrid>
      <w:tr w:rsidR="006C0839" w:rsidRPr="006923F8" w14:paraId="6A8ACFC0" w14:textId="77777777" w:rsidTr="00C47628">
        <w:trPr>
          <w:trHeight w:val="300"/>
        </w:trPr>
        <w:tc>
          <w:tcPr>
            <w:tcW w:w="2183" w:type="pct"/>
            <w:shd w:val="clear" w:color="auto" w:fill="auto"/>
            <w:noWrap/>
            <w:vAlign w:val="bottom"/>
            <w:hideMark/>
          </w:tcPr>
          <w:p w14:paraId="73198806" w14:textId="77777777" w:rsidR="00085C91" w:rsidRPr="006923F8" w:rsidRDefault="00085C91" w:rsidP="00C47628">
            <w:pPr>
              <w:spacing w:after="0"/>
              <w:jc w:val="center"/>
              <w:rPr>
                <w:lang w:eastAsia="zh-CN"/>
              </w:rPr>
            </w:pPr>
          </w:p>
        </w:tc>
        <w:tc>
          <w:tcPr>
            <w:tcW w:w="563" w:type="pct"/>
            <w:tcBorders>
              <w:bottom w:val="single" w:sz="4" w:space="0" w:color="auto"/>
            </w:tcBorders>
            <w:shd w:val="clear" w:color="auto" w:fill="auto"/>
            <w:noWrap/>
            <w:vAlign w:val="bottom"/>
            <w:hideMark/>
          </w:tcPr>
          <w:p w14:paraId="3584410C" w14:textId="16FAF8D4" w:rsidR="00085C91" w:rsidRPr="006923F8" w:rsidRDefault="006C0839" w:rsidP="00C47628">
            <w:pPr>
              <w:spacing w:after="0"/>
              <w:jc w:val="center"/>
              <w:rPr>
                <w:lang w:eastAsia="zh-CN"/>
              </w:rPr>
            </w:pPr>
            <w:r>
              <w:rPr>
                <w:lang w:eastAsia="zh-CN"/>
              </w:rPr>
              <w:t>2013 cohort</w:t>
            </w:r>
          </w:p>
        </w:tc>
        <w:tc>
          <w:tcPr>
            <w:tcW w:w="563" w:type="pct"/>
            <w:tcBorders>
              <w:bottom w:val="single" w:sz="4" w:space="0" w:color="auto"/>
            </w:tcBorders>
            <w:shd w:val="clear" w:color="auto" w:fill="auto"/>
            <w:noWrap/>
            <w:vAlign w:val="bottom"/>
            <w:hideMark/>
          </w:tcPr>
          <w:p w14:paraId="2DC02E5F" w14:textId="379B5567" w:rsidR="00085C91" w:rsidRPr="006923F8" w:rsidRDefault="006C0839" w:rsidP="00C47628">
            <w:pPr>
              <w:spacing w:after="0"/>
              <w:jc w:val="center"/>
              <w:rPr>
                <w:lang w:eastAsia="zh-CN"/>
              </w:rPr>
            </w:pPr>
            <w:r>
              <w:rPr>
                <w:lang w:eastAsia="zh-CN"/>
              </w:rPr>
              <w:t>2014 cohort</w:t>
            </w:r>
          </w:p>
        </w:tc>
        <w:tc>
          <w:tcPr>
            <w:tcW w:w="563" w:type="pct"/>
            <w:tcBorders>
              <w:bottom w:val="single" w:sz="4" w:space="0" w:color="auto"/>
            </w:tcBorders>
            <w:shd w:val="clear" w:color="auto" w:fill="auto"/>
            <w:noWrap/>
            <w:vAlign w:val="bottom"/>
            <w:hideMark/>
          </w:tcPr>
          <w:p w14:paraId="40BFB127" w14:textId="6349C08F" w:rsidR="00085C91" w:rsidRPr="006923F8" w:rsidRDefault="006C0839" w:rsidP="00C47628">
            <w:pPr>
              <w:spacing w:after="0"/>
              <w:jc w:val="center"/>
              <w:rPr>
                <w:lang w:eastAsia="zh-CN"/>
              </w:rPr>
            </w:pPr>
            <w:r>
              <w:rPr>
                <w:lang w:eastAsia="zh-CN"/>
              </w:rPr>
              <w:t>2015 cohort</w:t>
            </w:r>
          </w:p>
        </w:tc>
        <w:tc>
          <w:tcPr>
            <w:tcW w:w="563" w:type="pct"/>
            <w:tcBorders>
              <w:bottom w:val="single" w:sz="4" w:space="0" w:color="auto"/>
            </w:tcBorders>
            <w:shd w:val="clear" w:color="auto" w:fill="auto"/>
            <w:noWrap/>
            <w:vAlign w:val="bottom"/>
            <w:hideMark/>
          </w:tcPr>
          <w:p w14:paraId="14FBF951" w14:textId="7C839006" w:rsidR="00085C91" w:rsidRPr="006923F8" w:rsidRDefault="006C0839" w:rsidP="00C47628">
            <w:pPr>
              <w:spacing w:after="0"/>
              <w:jc w:val="center"/>
              <w:rPr>
                <w:lang w:eastAsia="zh-CN"/>
              </w:rPr>
            </w:pPr>
            <w:r>
              <w:rPr>
                <w:lang w:eastAsia="zh-CN"/>
              </w:rPr>
              <w:t>2016 cohort</w:t>
            </w:r>
          </w:p>
        </w:tc>
        <w:tc>
          <w:tcPr>
            <w:tcW w:w="563" w:type="pct"/>
            <w:shd w:val="clear" w:color="auto" w:fill="auto"/>
            <w:noWrap/>
            <w:vAlign w:val="bottom"/>
            <w:hideMark/>
          </w:tcPr>
          <w:p w14:paraId="21984B3B" w14:textId="2D50E2CB" w:rsidR="00085C91" w:rsidRPr="006923F8" w:rsidRDefault="006C0839" w:rsidP="00C47628">
            <w:pPr>
              <w:spacing w:after="0"/>
              <w:jc w:val="center"/>
              <w:rPr>
                <w:lang w:eastAsia="zh-CN"/>
              </w:rPr>
            </w:pPr>
            <w:r>
              <w:rPr>
                <w:lang w:eastAsia="zh-CN"/>
              </w:rPr>
              <w:t>2017 cohort</w:t>
            </w:r>
          </w:p>
        </w:tc>
      </w:tr>
      <w:tr w:rsidR="006C0839" w:rsidRPr="006923F8" w14:paraId="0FE85FFD" w14:textId="77777777" w:rsidTr="00C47628">
        <w:trPr>
          <w:trHeight w:val="300"/>
        </w:trPr>
        <w:tc>
          <w:tcPr>
            <w:tcW w:w="2183" w:type="pct"/>
            <w:shd w:val="clear" w:color="auto" w:fill="auto"/>
            <w:noWrap/>
            <w:vAlign w:val="bottom"/>
            <w:hideMark/>
          </w:tcPr>
          <w:p w14:paraId="6A50F73A" w14:textId="77777777" w:rsidR="00085C91" w:rsidRPr="006923F8" w:rsidRDefault="00085C91" w:rsidP="00C47628">
            <w:pPr>
              <w:spacing w:after="0"/>
              <w:jc w:val="center"/>
              <w:rPr>
                <w:lang w:eastAsia="zh-CN"/>
              </w:rPr>
            </w:pPr>
            <w:r w:rsidRPr="006923F8">
              <w:rPr>
                <w:lang w:eastAsia="zh-CN"/>
              </w:rPr>
              <w:t>Concentration - Mechatronics Technology</w:t>
            </w:r>
          </w:p>
        </w:tc>
        <w:tc>
          <w:tcPr>
            <w:tcW w:w="563" w:type="pct"/>
            <w:shd w:val="clear" w:color="000000" w:fill="auto"/>
            <w:noWrap/>
            <w:vAlign w:val="bottom"/>
          </w:tcPr>
          <w:p w14:paraId="3F295D4A" w14:textId="0C64973F" w:rsidR="00085C91" w:rsidRPr="006923F8" w:rsidRDefault="00CD0353" w:rsidP="00C47628">
            <w:pPr>
              <w:spacing w:after="0"/>
              <w:jc w:val="center"/>
              <w:rPr>
                <w:lang w:eastAsia="zh-CN"/>
              </w:rPr>
            </w:pPr>
            <w:r>
              <w:rPr>
                <w:lang w:eastAsia="zh-CN"/>
              </w:rPr>
              <w:t>15%</w:t>
            </w:r>
          </w:p>
        </w:tc>
        <w:tc>
          <w:tcPr>
            <w:tcW w:w="563" w:type="pct"/>
            <w:shd w:val="clear" w:color="000000" w:fill="auto"/>
            <w:noWrap/>
            <w:vAlign w:val="bottom"/>
          </w:tcPr>
          <w:p w14:paraId="30ECA4F8" w14:textId="4D693727" w:rsidR="00085C91" w:rsidRPr="006923F8" w:rsidRDefault="0039210C" w:rsidP="00C47628">
            <w:pPr>
              <w:spacing w:after="0"/>
              <w:jc w:val="center"/>
              <w:rPr>
                <w:lang w:eastAsia="zh-CN"/>
              </w:rPr>
            </w:pPr>
            <w:r>
              <w:rPr>
                <w:lang w:eastAsia="zh-CN"/>
              </w:rPr>
              <w:t>38</w:t>
            </w:r>
            <w:r w:rsidR="00DD78CE">
              <w:rPr>
                <w:lang w:eastAsia="zh-CN"/>
              </w:rPr>
              <w:t>%</w:t>
            </w:r>
          </w:p>
        </w:tc>
        <w:tc>
          <w:tcPr>
            <w:tcW w:w="563" w:type="pct"/>
            <w:shd w:val="clear" w:color="000000" w:fill="auto"/>
            <w:noWrap/>
            <w:vAlign w:val="bottom"/>
          </w:tcPr>
          <w:p w14:paraId="018183B5" w14:textId="3A607F2E" w:rsidR="00085C91" w:rsidRPr="006923F8" w:rsidRDefault="0004728D" w:rsidP="00C47628">
            <w:pPr>
              <w:spacing w:after="0"/>
              <w:jc w:val="center"/>
              <w:rPr>
                <w:lang w:eastAsia="zh-CN"/>
              </w:rPr>
            </w:pPr>
            <w:r>
              <w:rPr>
                <w:lang w:eastAsia="zh-CN"/>
              </w:rPr>
              <w:t>44</w:t>
            </w:r>
            <w:r w:rsidR="00DD78CE">
              <w:rPr>
                <w:lang w:eastAsia="zh-CN"/>
              </w:rPr>
              <w:t>%</w:t>
            </w:r>
          </w:p>
        </w:tc>
        <w:tc>
          <w:tcPr>
            <w:tcW w:w="563" w:type="pct"/>
            <w:shd w:val="clear" w:color="000000" w:fill="auto"/>
            <w:noWrap/>
            <w:vAlign w:val="bottom"/>
          </w:tcPr>
          <w:p w14:paraId="60A6606A" w14:textId="59DCF989" w:rsidR="00085C91" w:rsidRPr="006923F8" w:rsidRDefault="00F45F6B" w:rsidP="00C47628">
            <w:pPr>
              <w:spacing w:after="0"/>
              <w:jc w:val="center"/>
              <w:rPr>
                <w:lang w:eastAsia="zh-CN"/>
              </w:rPr>
            </w:pPr>
            <w:r>
              <w:rPr>
                <w:lang w:eastAsia="zh-CN"/>
              </w:rPr>
              <w:t>4</w:t>
            </w:r>
            <w:r w:rsidR="0004728D">
              <w:rPr>
                <w:lang w:eastAsia="zh-CN"/>
              </w:rPr>
              <w:t>3</w:t>
            </w:r>
            <w:r>
              <w:rPr>
                <w:lang w:eastAsia="zh-CN"/>
              </w:rPr>
              <w:t>%</w:t>
            </w:r>
          </w:p>
        </w:tc>
        <w:tc>
          <w:tcPr>
            <w:tcW w:w="563" w:type="pct"/>
            <w:shd w:val="clear" w:color="auto" w:fill="auto"/>
            <w:noWrap/>
            <w:vAlign w:val="bottom"/>
          </w:tcPr>
          <w:p w14:paraId="69CD9C0C" w14:textId="08A02351" w:rsidR="00085C91" w:rsidRPr="006923F8" w:rsidRDefault="00B97D99" w:rsidP="00C47628">
            <w:pPr>
              <w:spacing w:after="0"/>
              <w:jc w:val="center"/>
              <w:rPr>
                <w:lang w:eastAsia="zh-CN"/>
              </w:rPr>
            </w:pPr>
            <w:r>
              <w:rPr>
                <w:lang w:eastAsia="zh-CN"/>
              </w:rPr>
              <w:t>56</w:t>
            </w:r>
            <w:r w:rsidR="00F45F6B">
              <w:rPr>
                <w:lang w:eastAsia="zh-CN"/>
              </w:rPr>
              <w:t>%</w:t>
            </w:r>
          </w:p>
        </w:tc>
      </w:tr>
      <w:tr w:rsidR="006C0839" w:rsidRPr="006923F8" w14:paraId="1120FDF2" w14:textId="77777777" w:rsidTr="00C47628">
        <w:trPr>
          <w:trHeight w:val="300"/>
        </w:trPr>
        <w:tc>
          <w:tcPr>
            <w:tcW w:w="2183" w:type="pct"/>
            <w:shd w:val="clear" w:color="auto" w:fill="auto"/>
            <w:noWrap/>
            <w:vAlign w:val="bottom"/>
            <w:hideMark/>
          </w:tcPr>
          <w:p w14:paraId="60B72867" w14:textId="77777777" w:rsidR="00085C91" w:rsidRPr="006923F8" w:rsidRDefault="00085C91" w:rsidP="00C47628">
            <w:pPr>
              <w:spacing w:after="0"/>
              <w:jc w:val="center"/>
              <w:rPr>
                <w:lang w:eastAsia="zh-CN"/>
              </w:rPr>
            </w:pPr>
            <w:r w:rsidRPr="006923F8">
              <w:rPr>
                <w:lang w:eastAsia="zh-CN"/>
              </w:rPr>
              <w:t>Concentration – Aviation Management</w:t>
            </w:r>
          </w:p>
        </w:tc>
        <w:tc>
          <w:tcPr>
            <w:tcW w:w="563" w:type="pct"/>
            <w:shd w:val="clear" w:color="000000" w:fill="auto"/>
            <w:noWrap/>
            <w:vAlign w:val="bottom"/>
          </w:tcPr>
          <w:p w14:paraId="6D95D9CC" w14:textId="53FA0064" w:rsidR="00085C91" w:rsidRPr="006923F8" w:rsidRDefault="00CD0353" w:rsidP="00C47628">
            <w:pPr>
              <w:spacing w:after="0"/>
              <w:jc w:val="center"/>
              <w:rPr>
                <w:lang w:eastAsia="zh-CN"/>
              </w:rPr>
            </w:pPr>
            <w:r>
              <w:rPr>
                <w:lang w:eastAsia="zh-CN"/>
              </w:rPr>
              <w:t>35%</w:t>
            </w:r>
          </w:p>
        </w:tc>
        <w:tc>
          <w:tcPr>
            <w:tcW w:w="563" w:type="pct"/>
            <w:shd w:val="clear" w:color="000000" w:fill="auto"/>
            <w:noWrap/>
            <w:vAlign w:val="bottom"/>
          </w:tcPr>
          <w:p w14:paraId="28D153E8" w14:textId="22239EE0" w:rsidR="00085C91" w:rsidRPr="006923F8" w:rsidRDefault="00DC24D1" w:rsidP="00C47628">
            <w:pPr>
              <w:spacing w:after="0"/>
              <w:jc w:val="center"/>
              <w:rPr>
                <w:lang w:eastAsia="zh-CN"/>
              </w:rPr>
            </w:pPr>
            <w:r>
              <w:rPr>
                <w:lang w:eastAsia="zh-CN"/>
              </w:rPr>
              <w:t>44</w:t>
            </w:r>
            <w:r w:rsidR="00DD78CE">
              <w:rPr>
                <w:lang w:eastAsia="zh-CN"/>
              </w:rPr>
              <w:t>%</w:t>
            </w:r>
          </w:p>
        </w:tc>
        <w:tc>
          <w:tcPr>
            <w:tcW w:w="563" w:type="pct"/>
            <w:shd w:val="clear" w:color="000000" w:fill="auto"/>
            <w:noWrap/>
            <w:vAlign w:val="bottom"/>
          </w:tcPr>
          <w:p w14:paraId="018CBB3C" w14:textId="6B98CA59" w:rsidR="00085C91" w:rsidRPr="006923F8" w:rsidRDefault="0004728D" w:rsidP="00C47628">
            <w:pPr>
              <w:spacing w:after="0"/>
              <w:jc w:val="center"/>
              <w:rPr>
                <w:lang w:eastAsia="zh-CN"/>
              </w:rPr>
            </w:pPr>
            <w:r>
              <w:rPr>
                <w:lang w:eastAsia="zh-CN"/>
              </w:rPr>
              <w:t>50</w:t>
            </w:r>
            <w:r w:rsidR="00DD78CE">
              <w:rPr>
                <w:lang w:eastAsia="zh-CN"/>
              </w:rPr>
              <w:t>%</w:t>
            </w:r>
          </w:p>
        </w:tc>
        <w:tc>
          <w:tcPr>
            <w:tcW w:w="563" w:type="pct"/>
            <w:shd w:val="clear" w:color="000000" w:fill="auto"/>
            <w:noWrap/>
            <w:vAlign w:val="bottom"/>
          </w:tcPr>
          <w:p w14:paraId="0EF79902" w14:textId="4C693CDF" w:rsidR="00085C91" w:rsidRPr="006923F8" w:rsidRDefault="0004728D" w:rsidP="00C47628">
            <w:pPr>
              <w:spacing w:after="0"/>
              <w:jc w:val="center"/>
              <w:rPr>
                <w:lang w:eastAsia="zh-CN"/>
              </w:rPr>
            </w:pPr>
            <w:r>
              <w:rPr>
                <w:lang w:eastAsia="zh-CN"/>
              </w:rPr>
              <w:t>49</w:t>
            </w:r>
            <w:r w:rsidR="00F45F6B">
              <w:rPr>
                <w:lang w:eastAsia="zh-CN"/>
              </w:rPr>
              <w:t>%</w:t>
            </w:r>
          </w:p>
        </w:tc>
        <w:tc>
          <w:tcPr>
            <w:tcW w:w="563" w:type="pct"/>
            <w:shd w:val="clear" w:color="auto" w:fill="auto"/>
            <w:noWrap/>
            <w:vAlign w:val="bottom"/>
          </w:tcPr>
          <w:p w14:paraId="4BB59BA6" w14:textId="138CEB06" w:rsidR="00085C91" w:rsidRPr="006923F8" w:rsidRDefault="00B97D99" w:rsidP="00C47628">
            <w:pPr>
              <w:spacing w:after="0"/>
              <w:jc w:val="center"/>
              <w:rPr>
                <w:lang w:eastAsia="zh-CN"/>
              </w:rPr>
            </w:pPr>
            <w:r>
              <w:rPr>
                <w:lang w:eastAsia="zh-CN"/>
              </w:rPr>
              <w:t>58</w:t>
            </w:r>
            <w:r w:rsidR="00AD1CC1">
              <w:rPr>
                <w:lang w:eastAsia="zh-CN"/>
              </w:rPr>
              <w:t>%</w:t>
            </w:r>
          </w:p>
        </w:tc>
      </w:tr>
      <w:tr w:rsidR="006C0839" w:rsidRPr="006923F8" w14:paraId="1FCC3C1A" w14:textId="77777777" w:rsidTr="006C0839">
        <w:trPr>
          <w:trHeight w:val="300"/>
        </w:trPr>
        <w:tc>
          <w:tcPr>
            <w:tcW w:w="2183" w:type="pct"/>
            <w:shd w:val="clear" w:color="auto" w:fill="auto"/>
            <w:noWrap/>
            <w:vAlign w:val="bottom"/>
            <w:hideMark/>
          </w:tcPr>
          <w:p w14:paraId="39BAE569" w14:textId="77777777" w:rsidR="00085C91" w:rsidRPr="006923F8" w:rsidRDefault="00085C91" w:rsidP="00C47628">
            <w:pPr>
              <w:spacing w:after="0"/>
              <w:jc w:val="center"/>
              <w:rPr>
                <w:lang w:eastAsia="zh-CN"/>
              </w:rPr>
            </w:pPr>
            <w:r w:rsidRPr="006923F8">
              <w:rPr>
                <w:lang w:eastAsia="zh-CN"/>
              </w:rPr>
              <w:t xml:space="preserve">AIT (BS) total </w:t>
            </w:r>
          </w:p>
        </w:tc>
        <w:tc>
          <w:tcPr>
            <w:tcW w:w="563" w:type="pct"/>
            <w:shd w:val="clear" w:color="000000" w:fill="auto"/>
            <w:noWrap/>
            <w:vAlign w:val="bottom"/>
          </w:tcPr>
          <w:p w14:paraId="51FFC556" w14:textId="1296DCC6" w:rsidR="00085C91" w:rsidRPr="006923F8" w:rsidRDefault="006C0839" w:rsidP="00C47628">
            <w:pPr>
              <w:spacing w:after="0"/>
              <w:jc w:val="center"/>
              <w:rPr>
                <w:lang w:eastAsia="zh-CN"/>
              </w:rPr>
            </w:pPr>
            <w:r>
              <w:rPr>
                <w:lang w:eastAsia="zh-CN"/>
              </w:rPr>
              <w:t>25%</w:t>
            </w:r>
          </w:p>
        </w:tc>
        <w:tc>
          <w:tcPr>
            <w:tcW w:w="563" w:type="pct"/>
            <w:shd w:val="clear" w:color="000000" w:fill="auto"/>
            <w:noWrap/>
            <w:vAlign w:val="bottom"/>
          </w:tcPr>
          <w:p w14:paraId="5C424610" w14:textId="36BB653E" w:rsidR="00085C91" w:rsidRPr="006923F8" w:rsidRDefault="00441D88" w:rsidP="00C47628">
            <w:pPr>
              <w:spacing w:after="0"/>
              <w:jc w:val="center"/>
              <w:rPr>
                <w:lang w:eastAsia="zh-CN"/>
              </w:rPr>
            </w:pPr>
            <w:r>
              <w:rPr>
                <w:lang w:eastAsia="zh-CN"/>
              </w:rPr>
              <w:t>41</w:t>
            </w:r>
            <w:r w:rsidR="006C0839">
              <w:rPr>
                <w:lang w:eastAsia="zh-CN"/>
              </w:rPr>
              <w:t>%</w:t>
            </w:r>
          </w:p>
        </w:tc>
        <w:tc>
          <w:tcPr>
            <w:tcW w:w="563" w:type="pct"/>
            <w:shd w:val="clear" w:color="000000" w:fill="auto"/>
            <w:noWrap/>
            <w:vAlign w:val="bottom"/>
          </w:tcPr>
          <w:p w14:paraId="7586BB23" w14:textId="1A697741" w:rsidR="00085C91" w:rsidRPr="006923F8" w:rsidRDefault="00A2523D" w:rsidP="00C47628">
            <w:pPr>
              <w:spacing w:after="0"/>
              <w:jc w:val="center"/>
              <w:rPr>
                <w:lang w:eastAsia="zh-CN"/>
              </w:rPr>
            </w:pPr>
            <w:r>
              <w:rPr>
                <w:lang w:eastAsia="zh-CN"/>
              </w:rPr>
              <w:t>47</w:t>
            </w:r>
            <w:r w:rsidR="006C0839">
              <w:rPr>
                <w:lang w:eastAsia="zh-CN"/>
              </w:rPr>
              <w:t>%</w:t>
            </w:r>
          </w:p>
        </w:tc>
        <w:tc>
          <w:tcPr>
            <w:tcW w:w="563" w:type="pct"/>
            <w:shd w:val="clear" w:color="000000" w:fill="auto"/>
            <w:noWrap/>
            <w:vAlign w:val="bottom"/>
          </w:tcPr>
          <w:p w14:paraId="4CC61A10" w14:textId="4CC61355" w:rsidR="00085C91" w:rsidRPr="006923F8" w:rsidRDefault="00A2523D" w:rsidP="00C47628">
            <w:pPr>
              <w:spacing w:after="0"/>
              <w:jc w:val="center"/>
              <w:rPr>
                <w:lang w:eastAsia="zh-CN"/>
              </w:rPr>
            </w:pPr>
            <w:r>
              <w:rPr>
                <w:lang w:eastAsia="zh-CN"/>
              </w:rPr>
              <w:t>46</w:t>
            </w:r>
            <w:r w:rsidR="006C0839">
              <w:rPr>
                <w:lang w:eastAsia="zh-CN"/>
              </w:rPr>
              <w:t>%</w:t>
            </w:r>
          </w:p>
        </w:tc>
        <w:tc>
          <w:tcPr>
            <w:tcW w:w="563" w:type="pct"/>
            <w:shd w:val="clear" w:color="auto" w:fill="auto"/>
            <w:noWrap/>
            <w:vAlign w:val="bottom"/>
          </w:tcPr>
          <w:p w14:paraId="66E2A476" w14:textId="5CE0F526" w:rsidR="00085C91" w:rsidRPr="006923F8" w:rsidRDefault="00A2523D" w:rsidP="00C47628">
            <w:pPr>
              <w:spacing w:after="0"/>
              <w:jc w:val="center"/>
              <w:rPr>
                <w:lang w:eastAsia="zh-CN"/>
              </w:rPr>
            </w:pPr>
            <w:r>
              <w:rPr>
                <w:lang w:eastAsia="zh-CN"/>
              </w:rPr>
              <w:t>57</w:t>
            </w:r>
            <w:r w:rsidR="0046244E">
              <w:rPr>
                <w:lang w:eastAsia="zh-CN"/>
              </w:rPr>
              <w:t>%</w:t>
            </w:r>
          </w:p>
        </w:tc>
      </w:tr>
    </w:tbl>
    <w:p w14:paraId="1159A79E" w14:textId="77777777" w:rsidR="00916D45" w:rsidRPr="006923F8" w:rsidRDefault="00916D45"/>
    <w:p w14:paraId="2E5D7E79" w14:textId="73861209" w:rsidR="004E0632" w:rsidRPr="006923F8" w:rsidRDefault="004E0632">
      <w:r w:rsidRPr="006923F8">
        <w:rPr>
          <w:b/>
          <w:bCs/>
          <w:color w:val="215E99" w:themeColor="text2" w:themeTint="BF"/>
        </w:rPr>
        <w:t>Retention Rate</w:t>
      </w:r>
      <w:r w:rsidRPr="006923F8">
        <w:t xml:space="preserve">: The First-time full-time freshmen </w:t>
      </w:r>
      <w:r w:rsidR="00BD079A">
        <w:t xml:space="preserve">fall to fall </w:t>
      </w:r>
      <w:r w:rsidRPr="006923F8">
        <w:t>retention within same major of AIT is shown 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1"/>
        <w:gridCol w:w="1079"/>
        <w:gridCol w:w="1079"/>
        <w:gridCol w:w="1079"/>
        <w:gridCol w:w="1079"/>
        <w:gridCol w:w="1079"/>
      </w:tblGrid>
      <w:tr w:rsidR="006923F8" w:rsidRPr="006923F8" w14:paraId="6920A404" w14:textId="77777777" w:rsidTr="004E0632">
        <w:trPr>
          <w:trHeight w:val="300"/>
        </w:trPr>
        <w:tc>
          <w:tcPr>
            <w:tcW w:w="2183" w:type="pct"/>
            <w:shd w:val="clear" w:color="auto" w:fill="auto"/>
            <w:noWrap/>
            <w:vAlign w:val="bottom"/>
            <w:hideMark/>
          </w:tcPr>
          <w:p w14:paraId="44595DA9" w14:textId="77777777" w:rsidR="00C36409" w:rsidRPr="006923F8" w:rsidRDefault="00C36409" w:rsidP="00C47628">
            <w:pPr>
              <w:spacing w:after="0"/>
              <w:jc w:val="center"/>
              <w:rPr>
                <w:lang w:eastAsia="zh-CN"/>
              </w:rPr>
            </w:pPr>
          </w:p>
        </w:tc>
        <w:tc>
          <w:tcPr>
            <w:tcW w:w="563" w:type="pct"/>
            <w:tcBorders>
              <w:bottom w:val="single" w:sz="4" w:space="0" w:color="auto"/>
            </w:tcBorders>
            <w:shd w:val="clear" w:color="auto" w:fill="auto"/>
            <w:noWrap/>
            <w:vAlign w:val="bottom"/>
            <w:hideMark/>
          </w:tcPr>
          <w:p w14:paraId="336AE381" w14:textId="77777777" w:rsidR="00C36409" w:rsidRPr="006923F8" w:rsidRDefault="00C36409" w:rsidP="00C47628">
            <w:pPr>
              <w:spacing w:after="0"/>
              <w:jc w:val="center"/>
              <w:rPr>
                <w:lang w:eastAsia="zh-CN"/>
              </w:rPr>
            </w:pPr>
            <w:r w:rsidRPr="006923F8">
              <w:rPr>
                <w:lang w:eastAsia="zh-CN"/>
              </w:rPr>
              <w:t>Fall 2019</w:t>
            </w:r>
          </w:p>
        </w:tc>
        <w:tc>
          <w:tcPr>
            <w:tcW w:w="563" w:type="pct"/>
            <w:tcBorders>
              <w:bottom w:val="single" w:sz="4" w:space="0" w:color="auto"/>
            </w:tcBorders>
            <w:shd w:val="clear" w:color="auto" w:fill="auto"/>
            <w:noWrap/>
            <w:vAlign w:val="bottom"/>
            <w:hideMark/>
          </w:tcPr>
          <w:p w14:paraId="26A68DCD" w14:textId="77777777" w:rsidR="00C36409" w:rsidRPr="006923F8" w:rsidRDefault="00C36409" w:rsidP="00C47628">
            <w:pPr>
              <w:spacing w:after="0"/>
              <w:jc w:val="center"/>
              <w:rPr>
                <w:lang w:eastAsia="zh-CN"/>
              </w:rPr>
            </w:pPr>
            <w:r w:rsidRPr="006923F8">
              <w:rPr>
                <w:lang w:eastAsia="zh-CN"/>
              </w:rPr>
              <w:t>Fall 2020</w:t>
            </w:r>
          </w:p>
        </w:tc>
        <w:tc>
          <w:tcPr>
            <w:tcW w:w="563" w:type="pct"/>
            <w:tcBorders>
              <w:bottom w:val="single" w:sz="4" w:space="0" w:color="auto"/>
            </w:tcBorders>
            <w:shd w:val="clear" w:color="auto" w:fill="auto"/>
            <w:noWrap/>
            <w:vAlign w:val="bottom"/>
            <w:hideMark/>
          </w:tcPr>
          <w:p w14:paraId="5E9AC551" w14:textId="77777777" w:rsidR="00C36409" w:rsidRPr="006923F8" w:rsidRDefault="00C36409" w:rsidP="00C47628">
            <w:pPr>
              <w:spacing w:after="0"/>
              <w:jc w:val="center"/>
              <w:rPr>
                <w:lang w:eastAsia="zh-CN"/>
              </w:rPr>
            </w:pPr>
            <w:r w:rsidRPr="006923F8">
              <w:rPr>
                <w:lang w:eastAsia="zh-CN"/>
              </w:rPr>
              <w:t>Fall 2021</w:t>
            </w:r>
          </w:p>
        </w:tc>
        <w:tc>
          <w:tcPr>
            <w:tcW w:w="563" w:type="pct"/>
            <w:tcBorders>
              <w:bottom w:val="single" w:sz="4" w:space="0" w:color="auto"/>
            </w:tcBorders>
            <w:shd w:val="clear" w:color="auto" w:fill="auto"/>
            <w:noWrap/>
            <w:vAlign w:val="bottom"/>
            <w:hideMark/>
          </w:tcPr>
          <w:p w14:paraId="72909814" w14:textId="77777777" w:rsidR="00C36409" w:rsidRPr="006923F8" w:rsidRDefault="00C36409" w:rsidP="00C47628">
            <w:pPr>
              <w:spacing w:after="0"/>
              <w:jc w:val="center"/>
              <w:rPr>
                <w:lang w:eastAsia="zh-CN"/>
              </w:rPr>
            </w:pPr>
            <w:r w:rsidRPr="006923F8">
              <w:rPr>
                <w:lang w:eastAsia="zh-CN"/>
              </w:rPr>
              <w:t>Fall 2022</w:t>
            </w:r>
          </w:p>
        </w:tc>
        <w:tc>
          <w:tcPr>
            <w:tcW w:w="563" w:type="pct"/>
            <w:shd w:val="clear" w:color="auto" w:fill="auto"/>
            <w:noWrap/>
            <w:vAlign w:val="bottom"/>
            <w:hideMark/>
          </w:tcPr>
          <w:p w14:paraId="3027276F" w14:textId="77777777" w:rsidR="00C36409" w:rsidRPr="006923F8" w:rsidRDefault="00C36409" w:rsidP="00C47628">
            <w:pPr>
              <w:spacing w:after="0"/>
              <w:jc w:val="center"/>
              <w:rPr>
                <w:lang w:eastAsia="zh-CN"/>
              </w:rPr>
            </w:pPr>
            <w:r w:rsidRPr="006923F8">
              <w:rPr>
                <w:lang w:eastAsia="zh-CN"/>
              </w:rPr>
              <w:t>Fall 2023</w:t>
            </w:r>
          </w:p>
        </w:tc>
      </w:tr>
      <w:tr w:rsidR="006923F8" w:rsidRPr="006923F8" w14:paraId="123FDB3B" w14:textId="77777777" w:rsidTr="004E0632">
        <w:trPr>
          <w:trHeight w:val="300"/>
        </w:trPr>
        <w:tc>
          <w:tcPr>
            <w:tcW w:w="2183" w:type="pct"/>
            <w:shd w:val="clear" w:color="auto" w:fill="auto"/>
            <w:noWrap/>
            <w:vAlign w:val="bottom"/>
            <w:hideMark/>
          </w:tcPr>
          <w:p w14:paraId="24410D5D" w14:textId="77777777" w:rsidR="00C36409" w:rsidRPr="006923F8" w:rsidRDefault="00C36409" w:rsidP="00C47628">
            <w:pPr>
              <w:spacing w:after="0"/>
              <w:jc w:val="center"/>
              <w:rPr>
                <w:lang w:eastAsia="zh-CN"/>
              </w:rPr>
            </w:pPr>
            <w:r w:rsidRPr="006923F8">
              <w:rPr>
                <w:lang w:eastAsia="zh-CN"/>
              </w:rPr>
              <w:t>Concentration - Mechatronics Technology</w:t>
            </w:r>
          </w:p>
        </w:tc>
        <w:tc>
          <w:tcPr>
            <w:tcW w:w="563" w:type="pct"/>
            <w:shd w:val="clear" w:color="000000" w:fill="auto"/>
            <w:noWrap/>
            <w:vAlign w:val="bottom"/>
          </w:tcPr>
          <w:p w14:paraId="6EAA6F71" w14:textId="77777777" w:rsidR="00C36409" w:rsidRPr="006923F8" w:rsidRDefault="00C36409" w:rsidP="00C47628">
            <w:pPr>
              <w:spacing w:after="0"/>
              <w:jc w:val="center"/>
              <w:rPr>
                <w:lang w:eastAsia="zh-CN"/>
              </w:rPr>
            </w:pPr>
            <w:r w:rsidRPr="006923F8">
              <w:rPr>
                <w:lang w:eastAsia="zh-CN"/>
              </w:rPr>
              <w:t>62%</w:t>
            </w:r>
          </w:p>
        </w:tc>
        <w:tc>
          <w:tcPr>
            <w:tcW w:w="563" w:type="pct"/>
            <w:shd w:val="clear" w:color="000000" w:fill="auto"/>
            <w:noWrap/>
            <w:vAlign w:val="bottom"/>
          </w:tcPr>
          <w:p w14:paraId="1B8226E8" w14:textId="489E936A" w:rsidR="00C36409" w:rsidRPr="006923F8" w:rsidRDefault="004F1A51" w:rsidP="00C47628">
            <w:pPr>
              <w:spacing w:after="0"/>
              <w:jc w:val="center"/>
              <w:rPr>
                <w:lang w:eastAsia="zh-CN"/>
              </w:rPr>
            </w:pPr>
            <w:r>
              <w:rPr>
                <w:lang w:eastAsia="zh-CN"/>
              </w:rPr>
              <w:t>40</w:t>
            </w:r>
            <w:r w:rsidR="00C36409" w:rsidRPr="006923F8">
              <w:rPr>
                <w:lang w:eastAsia="zh-CN"/>
              </w:rPr>
              <w:t>%</w:t>
            </w:r>
          </w:p>
        </w:tc>
        <w:tc>
          <w:tcPr>
            <w:tcW w:w="563" w:type="pct"/>
            <w:shd w:val="clear" w:color="000000" w:fill="auto"/>
            <w:noWrap/>
            <w:vAlign w:val="bottom"/>
          </w:tcPr>
          <w:p w14:paraId="6B1B58A3" w14:textId="77777777" w:rsidR="00C36409" w:rsidRPr="006923F8" w:rsidRDefault="00C36409" w:rsidP="00C47628">
            <w:pPr>
              <w:spacing w:after="0"/>
              <w:jc w:val="center"/>
              <w:rPr>
                <w:lang w:eastAsia="zh-CN"/>
              </w:rPr>
            </w:pPr>
            <w:r w:rsidRPr="006923F8">
              <w:rPr>
                <w:lang w:eastAsia="zh-CN"/>
              </w:rPr>
              <w:t>52%</w:t>
            </w:r>
          </w:p>
        </w:tc>
        <w:tc>
          <w:tcPr>
            <w:tcW w:w="563" w:type="pct"/>
            <w:shd w:val="clear" w:color="000000" w:fill="auto"/>
            <w:noWrap/>
            <w:vAlign w:val="bottom"/>
          </w:tcPr>
          <w:p w14:paraId="13245490" w14:textId="1014317D" w:rsidR="00C36409" w:rsidRPr="006923F8" w:rsidRDefault="00FA326E" w:rsidP="00C47628">
            <w:pPr>
              <w:spacing w:after="0"/>
              <w:jc w:val="center"/>
              <w:rPr>
                <w:lang w:eastAsia="zh-CN"/>
              </w:rPr>
            </w:pPr>
            <w:r>
              <w:rPr>
                <w:lang w:eastAsia="zh-CN"/>
              </w:rPr>
              <w:t>60</w:t>
            </w:r>
            <w:r w:rsidR="00C36409" w:rsidRPr="006923F8">
              <w:rPr>
                <w:lang w:eastAsia="zh-CN"/>
              </w:rPr>
              <w:t>%</w:t>
            </w:r>
          </w:p>
        </w:tc>
        <w:tc>
          <w:tcPr>
            <w:tcW w:w="563" w:type="pct"/>
            <w:shd w:val="clear" w:color="auto" w:fill="auto"/>
            <w:noWrap/>
            <w:vAlign w:val="bottom"/>
          </w:tcPr>
          <w:p w14:paraId="73CCC8CA" w14:textId="77777777" w:rsidR="00C36409" w:rsidRPr="006923F8" w:rsidRDefault="00C36409" w:rsidP="00C47628">
            <w:pPr>
              <w:spacing w:after="0"/>
              <w:jc w:val="center"/>
              <w:rPr>
                <w:lang w:eastAsia="zh-CN"/>
              </w:rPr>
            </w:pPr>
            <w:r w:rsidRPr="006923F8">
              <w:rPr>
                <w:lang w:eastAsia="zh-CN"/>
              </w:rPr>
              <w:t>55%</w:t>
            </w:r>
          </w:p>
        </w:tc>
      </w:tr>
      <w:tr w:rsidR="006923F8" w:rsidRPr="006923F8" w14:paraId="04ABD6BC" w14:textId="77777777" w:rsidTr="004E0632">
        <w:trPr>
          <w:trHeight w:val="300"/>
        </w:trPr>
        <w:tc>
          <w:tcPr>
            <w:tcW w:w="2183" w:type="pct"/>
            <w:shd w:val="clear" w:color="auto" w:fill="auto"/>
            <w:noWrap/>
            <w:vAlign w:val="bottom"/>
            <w:hideMark/>
          </w:tcPr>
          <w:p w14:paraId="36CA2500" w14:textId="77777777" w:rsidR="00C36409" w:rsidRPr="006923F8" w:rsidRDefault="00C36409" w:rsidP="00C47628">
            <w:pPr>
              <w:spacing w:after="0"/>
              <w:jc w:val="center"/>
              <w:rPr>
                <w:lang w:eastAsia="zh-CN"/>
              </w:rPr>
            </w:pPr>
            <w:r w:rsidRPr="006923F8">
              <w:rPr>
                <w:lang w:eastAsia="zh-CN"/>
              </w:rPr>
              <w:t>Concentration – Aviation Management</w:t>
            </w:r>
          </w:p>
        </w:tc>
        <w:tc>
          <w:tcPr>
            <w:tcW w:w="563" w:type="pct"/>
            <w:shd w:val="clear" w:color="000000" w:fill="auto"/>
            <w:noWrap/>
            <w:vAlign w:val="bottom"/>
          </w:tcPr>
          <w:p w14:paraId="03FA3E2E" w14:textId="148A3343" w:rsidR="00C36409" w:rsidRPr="006923F8" w:rsidRDefault="0097446A" w:rsidP="00C47628">
            <w:pPr>
              <w:spacing w:after="0"/>
              <w:jc w:val="center"/>
              <w:rPr>
                <w:lang w:eastAsia="zh-CN"/>
              </w:rPr>
            </w:pPr>
            <w:r>
              <w:rPr>
                <w:lang w:eastAsia="zh-CN"/>
              </w:rPr>
              <w:t>64</w:t>
            </w:r>
            <w:r w:rsidR="00C36409" w:rsidRPr="006923F8">
              <w:rPr>
                <w:lang w:eastAsia="zh-CN"/>
              </w:rPr>
              <w:t>%</w:t>
            </w:r>
          </w:p>
        </w:tc>
        <w:tc>
          <w:tcPr>
            <w:tcW w:w="563" w:type="pct"/>
            <w:shd w:val="clear" w:color="000000" w:fill="auto"/>
            <w:noWrap/>
            <w:vAlign w:val="bottom"/>
          </w:tcPr>
          <w:p w14:paraId="323021A2" w14:textId="7B3BCD5B" w:rsidR="00C36409" w:rsidRPr="006923F8" w:rsidRDefault="00C36409" w:rsidP="00C47628">
            <w:pPr>
              <w:spacing w:after="0"/>
              <w:jc w:val="center"/>
              <w:rPr>
                <w:lang w:eastAsia="zh-CN"/>
              </w:rPr>
            </w:pPr>
            <w:r w:rsidRPr="006923F8">
              <w:rPr>
                <w:lang w:eastAsia="zh-CN"/>
              </w:rPr>
              <w:t>3</w:t>
            </w:r>
            <w:r w:rsidR="004F1A51">
              <w:rPr>
                <w:lang w:eastAsia="zh-CN"/>
              </w:rPr>
              <w:t>6</w:t>
            </w:r>
            <w:r w:rsidRPr="006923F8">
              <w:rPr>
                <w:lang w:eastAsia="zh-CN"/>
              </w:rPr>
              <w:t>%</w:t>
            </w:r>
          </w:p>
        </w:tc>
        <w:tc>
          <w:tcPr>
            <w:tcW w:w="563" w:type="pct"/>
            <w:shd w:val="clear" w:color="000000" w:fill="auto"/>
            <w:noWrap/>
            <w:vAlign w:val="bottom"/>
          </w:tcPr>
          <w:p w14:paraId="7B872328" w14:textId="42C1ADFB" w:rsidR="00C36409" w:rsidRPr="006923F8" w:rsidRDefault="004F1A51" w:rsidP="00C47628">
            <w:pPr>
              <w:spacing w:after="0"/>
              <w:jc w:val="center"/>
              <w:rPr>
                <w:lang w:eastAsia="zh-CN"/>
              </w:rPr>
            </w:pPr>
            <w:r>
              <w:rPr>
                <w:lang w:eastAsia="zh-CN"/>
              </w:rPr>
              <w:t>4</w:t>
            </w:r>
            <w:r w:rsidR="00C36409" w:rsidRPr="006923F8">
              <w:rPr>
                <w:lang w:eastAsia="zh-CN"/>
              </w:rPr>
              <w:t>8%</w:t>
            </w:r>
          </w:p>
        </w:tc>
        <w:tc>
          <w:tcPr>
            <w:tcW w:w="563" w:type="pct"/>
            <w:shd w:val="clear" w:color="000000" w:fill="auto"/>
            <w:noWrap/>
            <w:vAlign w:val="bottom"/>
          </w:tcPr>
          <w:p w14:paraId="0A5CB789" w14:textId="040BBA9C" w:rsidR="00C36409" w:rsidRPr="006923F8" w:rsidRDefault="00FA326E" w:rsidP="00C47628">
            <w:pPr>
              <w:spacing w:after="0"/>
              <w:jc w:val="center"/>
              <w:rPr>
                <w:lang w:eastAsia="zh-CN"/>
              </w:rPr>
            </w:pPr>
            <w:r>
              <w:rPr>
                <w:lang w:eastAsia="zh-CN"/>
              </w:rPr>
              <w:t>58</w:t>
            </w:r>
            <w:r w:rsidR="00C36409" w:rsidRPr="006923F8">
              <w:rPr>
                <w:lang w:eastAsia="zh-CN"/>
              </w:rPr>
              <w:t>%</w:t>
            </w:r>
          </w:p>
        </w:tc>
        <w:tc>
          <w:tcPr>
            <w:tcW w:w="563" w:type="pct"/>
            <w:shd w:val="clear" w:color="auto" w:fill="auto"/>
            <w:noWrap/>
            <w:vAlign w:val="bottom"/>
          </w:tcPr>
          <w:p w14:paraId="21F9BBF1" w14:textId="77777777" w:rsidR="00C36409" w:rsidRPr="006923F8" w:rsidRDefault="00C36409" w:rsidP="00C47628">
            <w:pPr>
              <w:spacing w:after="0"/>
              <w:jc w:val="center"/>
              <w:rPr>
                <w:lang w:eastAsia="zh-CN"/>
              </w:rPr>
            </w:pPr>
            <w:r w:rsidRPr="006923F8">
              <w:rPr>
                <w:lang w:eastAsia="zh-CN"/>
              </w:rPr>
              <w:t>41%</w:t>
            </w:r>
          </w:p>
        </w:tc>
      </w:tr>
      <w:tr w:rsidR="006923F8" w:rsidRPr="006923F8" w14:paraId="3656C2AE" w14:textId="77777777" w:rsidTr="004E0632">
        <w:trPr>
          <w:trHeight w:val="300"/>
        </w:trPr>
        <w:tc>
          <w:tcPr>
            <w:tcW w:w="2183" w:type="pct"/>
            <w:shd w:val="clear" w:color="auto" w:fill="auto"/>
            <w:noWrap/>
            <w:vAlign w:val="bottom"/>
            <w:hideMark/>
          </w:tcPr>
          <w:p w14:paraId="4F599707" w14:textId="77777777" w:rsidR="00C36409" w:rsidRPr="006923F8" w:rsidRDefault="00C36409" w:rsidP="00C47628">
            <w:pPr>
              <w:spacing w:after="0"/>
              <w:jc w:val="center"/>
              <w:rPr>
                <w:lang w:eastAsia="zh-CN"/>
              </w:rPr>
            </w:pPr>
            <w:r w:rsidRPr="006923F8">
              <w:rPr>
                <w:lang w:eastAsia="zh-CN"/>
              </w:rPr>
              <w:t xml:space="preserve">AIT (BS) total </w:t>
            </w:r>
          </w:p>
        </w:tc>
        <w:tc>
          <w:tcPr>
            <w:tcW w:w="563" w:type="pct"/>
            <w:shd w:val="clear" w:color="000000" w:fill="auto"/>
            <w:noWrap/>
            <w:vAlign w:val="bottom"/>
            <w:hideMark/>
          </w:tcPr>
          <w:p w14:paraId="3B03D23E" w14:textId="444C1498" w:rsidR="00C36409" w:rsidRPr="006923F8" w:rsidRDefault="004866F3" w:rsidP="00C47628">
            <w:pPr>
              <w:spacing w:after="0"/>
              <w:jc w:val="center"/>
              <w:rPr>
                <w:lang w:eastAsia="zh-CN"/>
              </w:rPr>
            </w:pPr>
            <w:r>
              <w:rPr>
                <w:lang w:eastAsia="zh-CN"/>
              </w:rPr>
              <w:t>63</w:t>
            </w:r>
            <w:r w:rsidR="00C36409" w:rsidRPr="006923F8">
              <w:rPr>
                <w:lang w:eastAsia="zh-CN"/>
              </w:rPr>
              <w:t>%</w:t>
            </w:r>
          </w:p>
        </w:tc>
        <w:tc>
          <w:tcPr>
            <w:tcW w:w="563" w:type="pct"/>
            <w:shd w:val="clear" w:color="000000" w:fill="auto"/>
            <w:noWrap/>
            <w:vAlign w:val="bottom"/>
            <w:hideMark/>
          </w:tcPr>
          <w:p w14:paraId="1CA5612D" w14:textId="52A7C57D" w:rsidR="00C36409" w:rsidRPr="006923F8" w:rsidRDefault="004866F3" w:rsidP="00C47628">
            <w:pPr>
              <w:spacing w:after="0"/>
              <w:jc w:val="center"/>
              <w:rPr>
                <w:lang w:eastAsia="zh-CN"/>
              </w:rPr>
            </w:pPr>
            <w:r>
              <w:rPr>
                <w:lang w:eastAsia="zh-CN"/>
              </w:rPr>
              <w:t>38</w:t>
            </w:r>
            <w:r w:rsidR="00C36409" w:rsidRPr="006923F8">
              <w:rPr>
                <w:lang w:eastAsia="zh-CN"/>
              </w:rPr>
              <w:t>%</w:t>
            </w:r>
          </w:p>
        </w:tc>
        <w:tc>
          <w:tcPr>
            <w:tcW w:w="563" w:type="pct"/>
            <w:shd w:val="clear" w:color="000000" w:fill="auto"/>
            <w:noWrap/>
            <w:vAlign w:val="bottom"/>
            <w:hideMark/>
          </w:tcPr>
          <w:p w14:paraId="0F8DCE39" w14:textId="2F413231" w:rsidR="00C36409" w:rsidRPr="006923F8" w:rsidRDefault="004866F3" w:rsidP="00C47628">
            <w:pPr>
              <w:spacing w:after="0"/>
              <w:jc w:val="center"/>
              <w:rPr>
                <w:lang w:eastAsia="zh-CN"/>
              </w:rPr>
            </w:pPr>
            <w:r>
              <w:rPr>
                <w:lang w:eastAsia="zh-CN"/>
              </w:rPr>
              <w:t>50</w:t>
            </w:r>
            <w:r w:rsidR="00C36409" w:rsidRPr="006923F8">
              <w:rPr>
                <w:lang w:eastAsia="zh-CN"/>
              </w:rPr>
              <w:t>%</w:t>
            </w:r>
          </w:p>
        </w:tc>
        <w:tc>
          <w:tcPr>
            <w:tcW w:w="563" w:type="pct"/>
            <w:shd w:val="clear" w:color="000000" w:fill="auto"/>
            <w:noWrap/>
            <w:vAlign w:val="bottom"/>
            <w:hideMark/>
          </w:tcPr>
          <w:p w14:paraId="4E2D1023" w14:textId="601880F9" w:rsidR="00C36409" w:rsidRPr="006923F8" w:rsidRDefault="004866F3" w:rsidP="00C47628">
            <w:pPr>
              <w:spacing w:after="0"/>
              <w:jc w:val="center"/>
              <w:rPr>
                <w:lang w:eastAsia="zh-CN"/>
              </w:rPr>
            </w:pPr>
            <w:r>
              <w:rPr>
                <w:lang w:eastAsia="zh-CN"/>
              </w:rPr>
              <w:t>59</w:t>
            </w:r>
            <w:r w:rsidR="00C36409" w:rsidRPr="006923F8">
              <w:rPr>
                <w:lang w:eastAsia="zh-CN"/>
              </w:rPr>
              <w:t>%</w:t>
            </w:r>
          </w:p>
        </w:tc>
        <w:tc>
          <w:tcPr>
            <w:tcW w:w="563" w:type="pct"/>
            <w:shd w:val="clear" w:color="auto" w:fill="auto"/>
            <w:noWrap/>
            <w:vAlign w:val="bottom"/>
            <w:hideMark/>
          </w:tcPr>
          <w:p w14:paraId="31D0E7BB" w14:textId="77777777" w:rsidR="00C36409" w:rsidRPr="006923F8" w:rsidRDefault="00C36409" w:rsidP="00C47628">
            <w:pPr>
              <w:spacing w:after="0"/>
              <w:jc w:val="center"/>
              <w:rPr>
                <w:lang w:eastAsia="zh-CN"/>
              </w:rPr>
            </w:pPr>
            <w:r w:rsidRPr="006923F8">
              <w:rPr>
                <w:lang w:eastAsia="zh-CN"/>
              </w:rPr>
              <w:t>48%</w:t>
            </w:r>
          </w:p>
        </w:tc>
      </w:tr>
    </w:tbl>
    <w:p w14:paraId="13B87C21" w14:textId="77777777" w:rsidR="00C36409" w:rsidRDefault="00C36409"/>
    <w:p w14:paraId="38D879BE" w14:textId="4A0E2795" w:rsidR="00461855" w:rsidRDefault="00EE7BCD">
      <w:bookmarkStart w:id="0" w:name="_Hlk196809021"/>
      <w:r w:rsidRPr="00EE7BCD">
        <w:rPr>
          <w:b/>
          <w:bCs/>
          <w:color w:val="215E99" w:themeColor="text2" w:themeTint="BF"/>
        </w:rPr>
        <w:t xml:space="preserve">Mean grade point averages </w:t>
      </w:r>
      <w:bookmarkEnd w:id="0"/>
      <w:r w:rsidR="00461855" w:rsidRPr="00461855">
        <w:t>of the graduating class</w:t>
      </w:r>
      <w:r w:rsidR="00461855">
        <w:t>: 3.</w:t>
      </w:r>
      <w:r w:rsidR="00B61B64">
        <w:t>27 (</w:t>
      </w:r>
      <w:r w:rsidR="00542F59">
        <w:t>3.07 for 2019-2020, 3.57 for 2021-2022)</w:t>
      </w:r>
    </w:p>
    <w:p w14:paraId="4F826579" w14:textId="77777777" w:rsidR="00EE7BCD" w:rsidRDefault="00EE7BCD" w:rsidP="00EE7BCD">
      <w:pPr>
        <w:rPr>
          <w:b/>
          <w:bCs/>
          <w:color w:val="215E99" w:themeColor="text2" w:themeTint="BF"/>
        </w:rPr>
      </w:pPr>
    </w:p>
    <w:p w14:paraId="178ACC7E" w14:textId="4FC4E497" w:rsidR="00EE7BCD" w:rsidRDefault="00EE7BCD" w:rsidP="00EE7BCD">
      <w:r w:rsidRPr="00774557">
        <w:rPr>
          <w:b/>
          <w:bCs/>
          <w:color w:val="215E99" w:themeColor="text2" w:themeTint="BF"/>
        </w:rPr>
        <w:t>Average time to complete degree program</w:t>
      </w:r>
      <w:r>
        <w:t xml:space="preserve">:  4 years if the student does not attend any summer semesters;  3.5 years if the student attends 3 summer semesters. </w:t>
      </w:r>
    </w:p>
    <w:p w14:paraId="07417DED" w14:textId="77777777" w:rsidR="00461855" w:rsidRPr="006923F8" w:rsidRDefault="00461855"/>
    <w:p w14:paraId="637C9ABB" w14:textId="104FAAEB" w:rsidR="007271E8" w:rsidRDefault="001F51AE" w:rsidP="007271E8">
      <w:r w:rsidRPr="001C43EE">
        <w:rPr>
          <w:b/>
          <w:bCs/>
          <w:color w:val="215E99" w:themeColor="text2" w:themeTint="BF"/>
        </w:rPr>
        <w:t>A</w:t>
      </w:r>
      <w:r w:rsidR="007271E8" w:rsidRPr="001C43EE">
        <w:rPr>
          <w:b/>
          <w:bCs/>
          <w:color w:val="215E99" w:themeColor="text2" w:themeTint="BF"/>
        </w:rPr>
        <w:t>vailability of awards/scholarships</w:t>
      </w:r>
      <w:r>
        <w:t xml:space="preserve">: </w:t>
      </w:r>
      <w:r w:rsidR="00422E2D" w:rsidRPr="00422E2D">
        <w:t xml:space="preserve">The College of Engineering at TSU posted the scholarship information and awarded students at </w:t>
      </w:r>
      <w:hyperlink r:id="rId5" w:history="1">
        <w:r w:rsidR="00422E2D" w:rsidRPr="00DB255B">
          <w:rPr>
            <w:rStyle w:val="Hyperlink"/>
          </w:rPr>
          <w:t>https://www.tnstate.edu/engineering/news.aspx</w:t>
        </w:r>
      </w:hyperlink>
      <w:r w:rsidR="00422E2D">
        <w:t xml:space="preserve"> </w:t>
      </w:r>
      <w:r w:rsidR="00422E2D" w:rsidRPr="00422E2D">
        <w:t xml:space="preserve"> and scholarship announcements at </w:t>
      </w:r>
      <w:hyperlink r:id="rId6" w:history="1">
        <w:r w:rsidR="00422E2D" w:rsidRPr="00DB255B">
          <w:rPr>
            <w:rStyle w:val="Hyperlink"/>
          </w:rPr>
          <w:t>https://www.tnstate.edu/engineering/scholarships.aspx</w:t>
        </w:r>
      </w:hyperlink>
      <w:r w:rsidR="00422E2D">
        <w:t xml:space="preserve"> </w:t>
      </w:r>
      <w:r w:rsidR="00422E2D" w:rsidRPr="00422E2D">
        <w:t xml:space="preserve"> .</w:t>
      </w:r>
      <w:r w:rsidR="00422E2D">
        <w:t xml:space="preserve"> In 2024-2025, the college of engineering provided $1,000,000 </w:t>
      </w:r>
      <w:r w:rsidR="00085BF2">
        <w:t>scholarship</w:t>
      </w:r>
      <w:r w:rsidR="00422E2D">
        <w:t xml:space="preserve"> to </w:t>
      </w:r>
      <w:r w:rsidR="00085BF2">
        <w:t xml:space="preserve">students in the college. </w:t>
      </w:r>
      <w:r w:rsidR="001C43EE">
        <w:t>These scholarships</w:t>
      </w:r>
      <w:r w:rsidR="00085BF2">
        <w:t xml:space="preserve"> include industrial </w:t>
      </w:r>
      <w:r w:rsidR="001C43EE">
        <w:t>scholarships</w:t>
      </w:r>
      <w:r w:rsidR="00085BF2">
        <w:t xml:space="preserve">, Engineering Alumni Association scholarship, </w:t>
      </w:r>
      <w:r w:rsidR="00D12A68">
        <w:t xml:space="preserve">federal grant scholarship, including NSF for transfer students, USDA, etc. </w:t>
      </w:r>
    </w:p>
    <w:p w14:paraId="15948B2B" w14:textId="77777777" w:rsidR="001C43EE" w:rsidRPr="006923F8" w:rsidRDefault="001C43EE" w:rsidP="007271E8"/>
    <w:p w14:paraId="5A0DF3A9" w14:textId="5E6D5209" w:rsidR="001C43EE" w:rsidRDefault="001C43EE" w:rsidP="007271E8">
      <w:r w:rsidRPr="001C43EE">
        <w:rPr>
          <w:b/>
          <w:bCs/>
          <w:color w:val="215E99" w:themeColor="text2" w:themeTint="BF"/>
        </w:rPr>
        <w:t>T</w:t>
      </w:r>
      <w:r w:rsidR="007271E8" w:rsidRPr="001C43EE">
        <w:rPr>
          <w:b/>
          <w:bCs/>
          <w:color w:val="215E99" w:themeColor="text2" w:themeTint="BF"/>
        </w:rPr>
        <w:t>uition expenses to complete the entire program</w:t>
      </w:r>
      <w:r>
        <w:t xml:space="preserve">: </w:t>
      </w:r>
      <w:r w:rsidR="007071BD">
        <w:t xml:space="preserve">in-state tuition is </w:t>
      </w:r>
      <w:r w:rsidR="001F4297">
        <w:t xml:space="preserve">$385 per credit hours. </w:t>
      </w:r>
      <w:r w:rsidR="00693AA2">
        <w:t>The program has 120 academic hours. The tuition expenses to complete the entire program as in-state tuition is $46,200. The out-of-state tuition is $960 per credit hour. The tuition expenses to complete the entire program as out-of-state tuition is $</w:t>
      </w:r>
      <w:r w:rsidR="003D4912">
        <w:t>115</w:t>
      </w:r>
      <w:r w:rsidR="00693AA2">
        <w:t>,200.</w:t>
      </w:r>
    </w:p>
    <w:p w14:paraId="3E48EE06" w14:textId="22F1020E" w:rsidR="007271E8" w:rsidRPr="006923F8" w:rsidRDefault="007271E8" w:rsidP="007271E8"/>
    <w:p w14:paraId="37FAA7D9" w14:textId="1A2C72B5" w:rsidR="00C36409" w:rsidRDefault="003D4912" w:rsidP="007271E8">
      <w:r w:rsidRPr="003D4912">
        <w:rPr>
          <w:b/>
          <w:bCs/>
          <w:color w:val="215E99" w:themeColor="text2" w:themeTint="BF"/>
        </w:rPr>
        <w:t>C</w:t>
      </w:r>
      <w:r w:rsidR="007271E8" w:rsidRPr="003D4912">
        <w:rPr>
          <w:b/>
          <w:bCs/>
          <w:color w:val="215E99" w:themeColor="text2" w:themeTint="BF"/>
        </w:rPr>
        <w:t>areer placement rates</w:t>
      </w:r>
      <w:r>
        <w:t xml:space="preserve">: </w:t>
      </w:r>
      <w:r w:rsidR="00A34014" w:rsidRPr="00A34014">
        <w:t>All prior graduates for this department in the 3 concentrations have either secured employment or are attending graduate schools.  Therefore, our placement rate is 100%.</w:t>
      </w:r>
      <w:r w:rsidR="00001B63">
        <w:t xml:space="preserve"> </w:t>
      </w:r>
      <w:r w:rsidR="00700F52">
        <w:t>The Lighcast alumni data shows  that r</w:t>
      </w:r>
      <w:r w:rsidR="00DB66DC">
        <w:t>eside in</w:t>
      </w:r>
      <w:r w:rsidR="00B70BF8">
        <w:t xml:space="preserve"> </w:t>
      </w:r>
      <w:r w:rsidR="00DB66DC">
        <w:t xml:space="preserve">the region is </w:t>
      </w:r>
      <w:r w:rsidR="00B70BF8">
        <w:t xml:space="preserve">48%. </w:t>
      </w:r>
    </w:p>
    <w:p w14:paraId="1F5784BA" w14:textId="77777777" w:rsidR="008677A0" w:rsidRDefault="008677A0" w:rsidP="00547166"/>
    <w:p w14:paraId="6CFFD920" w14:textId="2578D64D" w:rsidR="00547166" w:rsidRDefault="008677A0" w:rsidP="00547166">
      <w:r w:rsidRPr="007E7EF8">
        <w:rPr>
          <w:b/>
          <w:bCs/>
          <w:color w:val="215E99" w:themeColor="text2" w:themeTint="BF"/>
        </w:rPr>
        <w:t>T</w:t>
      </w:r>
      <w:r w:rsidR="00547166" w:rsidRPr="007E7EF8">
        <w:rPr>
          <w:b/>
          <w:bCs/>
          <w:color w:val="215E99" w:themeColor="text2" w:themeTint="BF"/>
        </w:rPr>
        <w:t>ime to secure the first position</w:t>
      </w:r>
      <w:r>
        <w:t xml:space="preserve">: </w:t>
      </w:r>
      <w:r w:rsidR="007E7EF8">
        <w:t xml:space="preserve">Within </w:t>
      </w:r>
      <w:r w:rsidR="0063024F">
        <w:t xml:space="preserve">three months after graduation, graduates </w:t>
      </w:r>
      <w:r w:rsidR="007145FB">
        <w:t xml:space="preserve">can secure their first position. </w:t>
      </w:r>
    </w:p>
    <w:p w14:paraId="5CA54C2B" w14:textId="77777777" w:rsidR="00327DEF" w:rsidRDefault="00327DEF" w:rsidP="00327DEF"/>
    <w:p w14:paraId="3FE4F6D5" w14:textId="4F9ACE89" w:rsidR="00D12F48" w:rsidRDefault="00774557" w:rsidP="00327DEF">
      <w:r w:rsidRPr="00774557">
        <w:rPr>
          <w:b/>
          <w:bCs/>
          <w:color w:val="215E99" w:themeColor="text2" w:themeTint="BF"/>
        </w:rPr>
        <w:t xml:space="preserve">Average Starting Salary: </w:t>
      </w:r>
      <w:r w:rsidR="002C7A00">
        <w:t xml:space="preserve">For AIT graduates, </w:t>
      </w:r>
      <w:r w:rsidR="00764B44">
        <w:t>the average starting salary is $52,500.00</w:t>
      </w:r>
      <w:r w:rsidR="001D5DF3">
        <w:t>. T</w:t>
      </w:r>
      <w:r w:rsidR="002C7A00">
        <w:t xml:space="preserve">he estimated </w:t>
      </w:r>
      <w:r w:rsidR="001D5DF3">
        <w:t xml:space="preserve">median </w:t>
      </w:r>
      <w:r w:rsidR="002C7A00">
        <w:t>wage is $77,200. The potential wage is $107,600</w:t>
      </w:r>
      <w:r w:rsidR="001D5DF3">
        <w:t xml:space="preserve"> after promotion</w:t>
      </w:r>
      <w:r w:rsidR="002C7A00">
        <w:t xml:space="preserve">. </w:t>
      </w:r>
    </w:p>
    <w:p w14:paraId="240D8E49" w14:textId="77777777" w:rsidR="008677A0" w:rsidRDefault="008677A0" w:rsidP="00327DEF"/>
    <w:p w14:paraId="43C09BBB" w14:textId="395F6771" w:rsidR="00F9079D" w:rsidRPr="00F9079D" w:rsidRDefault="00D74E23" w:rsidP="00F9079D">
      <w:r w:rsidRPr="00D74E23">
        <w:rPr>
          <w:b/>
          <w:bCs/>
          <w:color w:val="215E99" w:themeColor="text2" w:themeTint="BF"/>
        </w:rPr>
        <w:t>The program outcome assessment process and results</w:t>
      </w:r>
      <w:r>
        <w:t xml:space="preserve">: </w:t>
      </w:r>
      <w:r w:rsidR="00D96875" w:rsidRPr="00D96875">
        <w:t xml:space="preserve">The </w:t>
      </w:r>
      <w:r w:rsidR="00D96875">
        <w:t xml:space="preserve">program </w:t>
      </w:r>
      <w:r w:rsidR="00D96875" w:rsidRPr="00D96875">
        <w:t>outcomes have been assessed using the following f</w:t>
      </w:r>
      <w:r w:rsidR="00D96875">
        <w:t xml:space="preserve">our </w:t>
      </w:r>
      <w:r w:rsidR="00D96875" w:rsidRPr="00D96875">
        <w:t xml:space="preserve">tools: (1) Course-Embedded Assessment, (2) Faculty Evaluation of Capstone Design Projects, (3) Departmental Industrial Advisory Board (IAB) Evaluation of Capstone Design Projects, </w:t>
      </w:r>
      <w:r w:rsidR="00D96875">
        <w:t xml:space="preserve">and </w:t>
      </w:r>
      <w:r w:rsidR="00D96875" w:rsidRPr="00D96875">
        <w:t xml:space="preserve">(4) Exit Interview. The former three are direct measures and the last </w:t>
      </w:r>
      <w:r w:rsidR="00B770A1">
        <w:t xml:space="preserve">one </w:t>
      </w:r>
      <w:r w:rsidR="00D96875" w:rsidRPr="00D96875">
        <w:t xml:space="preserve">serves as an indirect measure. These tools covered all </w:t>
      </w:r>
      <w:r w:rsidR="00B770A1">
        <w:t>program</w:t>
      </w:r>
      <w:r w:rsidR="00D96875" w:rsidRPr="00D96875">
        <w:t xml:space="preserve"> outcomes.</w:t>
      </w:r>
      <w:r w:rsidR="00D96875">
        <w:t xml:space="preserve"> </w:t>
      </w:r>
      <w:r w:rsidR="00F9079D" w:rsidRPr="00F9079D">
        <w:t xml:space="preserve">AIT posted their outcome assessment process and results in the platform </w:t>
      </w:r>
      <w:hyperlink r:id="rId7" w:history="1">
        <w:r w:rsidR="00F9079D" w:rsidRPr="00F9079D">
          <w:rPr>
            <w:rStyle w:val="Hyperlink"/>
          </w:rPr>
          <w:t>https://accreditationprep.com/</w:t>
        </w:r>
      </w:hyperlink>
      <w:r w:rsidR="00F9079D" w:rsidRPr="00F9079D">
        <w:t xml:space="preserve"> . The platform listed the 7 outcomes of AIT program and assigned each instructor with the course-embedded outcome assessment by end of semester to assess student performance. </w:t>
      </w:r>
    </w:p>
    <w:p w14:paraId="4F2323AF" w14:textId="77777777" w:rsidR="00F9079D" w:rsidRPr="00F9079D" w:rsidRDefault="00F9079D" w:rsidP="00F9079D"/>
    <w:p w14:paraId="09C364DF" w14:textId="642EFB42" w:rsidR="00F9079D" w:rsidRPr="00F9079D" w:rsidRDefault="00F9079D" w:rsidP="00F9079D">
      <w:r w:rsidRPr="00F9079D">
        <w:t xml:space="preserve">In </w:t>
      </w:r>
      <w:r w:rsidR="00506264">
        <w:t xml:space="preserve">the course-embedded </w:t>
      </w:r>
      <w:r w:rsidRPr="00F9079D">
        <w:t>assessment, one or more key instruments (classroom assignment, project, quiz, exam problem, written report, oral presentation, etc.) are chosen in a course to assess a student outcome. The students’ works are graded using either scoring rubrics with four levels (for outcomes in which soft skills are involved) or numerical scale up to 100 points (for outcomes that are technically straight). The grades are translated to scores of 4, 3, 2, and 1 or E, A, M, and U as follows:</w:t>
      </w:r>
      <w:r w:rsidR="00506264">
        <w:t xml:space="preserve"> </w:t>
      </w:r>
      <w:r w:rsidRPr="00F9079D">
        <w:t xml:space="preserve">4 – </w:t>
      </w:r>
      <w:r w:rsidRPr="00F9079D">
        <w:rPr>
          <w:b/>
          <w:bCs/>
        </w:rPr>
        <w:t>E</w:t>
      </w:r>
      <w:r w:rsidRPr="00F9079D">
        <w:t>xcellent or E-level (90-100 points on 100 scale)</w:t>
      </w:r>
      <w:r w:rsidR="00506264">
        <w:t xml:space="preserve">; </w:t>
      </w:r>
      <w:r w:rsidRPr="00F9079D">
        <w:t xml:space="preserve">3 – </w:t>
      </w:r>
      <w:r w:rsidRPr="00F9079D">
        <w:rPr>
          <w:b/>
          <w:bCs/>
        </w:rPr>
        <w:t>A</w:t>
      </w:r>
      <w:r w:rsidRPr="00F9079D">
        <w:t xml:space="preserve">dequate or A-level (70-89 points) </w:t>
      </w:r>
      <w:r w:rsidR="00506264">
        <w:t xml:space="preserve">; </w:t>
      </w:r>
      <w:r w:rsidRPr="00F9079D">
        <w:t xml:space="preserve">2 – </w:t>
      </w:r>
      <w:r w:rsidRPr="00F9079D">
        <w:rPr>
          <w:b/>
          <w:bCs/>
        </w:rPr>
        <w:t>M</w:t>
      </w:r>
      <w:r w:rsidRPr="00F9079D">
        <w:t xml:space="preserve">inimal or M-level (60-69 points) </w:t>
      </w:r>
      <w:r w:rsidR="00506264">
        <w:t xml:space="preserve">; </w:t>
      </w:r>
      <w:r w:rsidRPr="00F9079D">
        <w:t xml:space="preserve">1 – </w:t>
      </w:r>
      <w:r w:rsidRPr="00F9079D">
        <w:rPr>
          <w:b/>
          <w:bCs/>
        </w:rPr>
        <w:t>U</w:t>
      </w:r>
      <w:r w:rsidRPr="00F9079D">
        <w:t>nsatisfactory or U-level (below 60 points)</w:t>
      </w:r>
      <w:r w:rsidR="00506264">
        <w:t xml:space="preserve">. </w:t>
      </w:r>
      <w:r w:rsidRPr="00F9079D">
        <w:t>The average score for the achievement of an outcome or a performance indicator of an outcome is calculated as:</w:t>
      </w:r>
    </w:p>
    <w:p w14:paraId="280184FF" w14:textId="77777777" w:rsidR="00F9079D" w:rsidRPr="00F9079D" w:rsidRDefault="00F9079D" w:rsidP="00F9079D"/>
    <w:p w14:paraId="5D57F723" w14:textId="1F4471BA" w:rsidR="00F9079D" w:rsidRPr="00F9079D" w:rsidRDefault="00F9079D" w:rsidP="00F9079D">
      <w:r w:rsidRPr="00F9079D">
        <w:rPr>
          <w:noProof/>
        </w:rPr>
        <w:drawing>
          <wp:inline distT="0" distB="0" distL="0" distR="0" wp14:anchorId="63D83A48" wp14:editId="39F5A194">
            <wp:extent cx="3981450" cy="371475"/>
            <wp:effectExtent l="0" t="0" r="0" b="0"/>
            <wp:docPr id="12188556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371475"/>
                    </a:xfrm>
                    <a:prstGeom prst="rect">
                      <a:avLst/>
                    </a:prstGeom>
                    <a:noFill/>
                    <a:ln>
                      <a:noFill/>
                    </a:ln>
                  </pic:spPr>
                </pic:pic>
              </a:graphicData>
            </a:graphic>
          </wp:inline>
        </w:drawing>
      </w:r>
    </w:p>
    <w:p w14:paraId="12B0E504" w14:textId="77777777" w:rsidR="00F9079D" w:rsidRPr="00F9079D" w:rsidRDefault="00F9079D" w:rsidP="00F9079D"/>
    <w:p w14:paraId="274E8220" w14:textId="0E1A1BA1" w:rsidR="00F9079D" w:rsidRPr="00F9079D" w:rsidRDefault="00F9079D" w:rsidP="00F9079D">
      <w:r w:rsidRPr="00F9079D">
        <w:rPr>
          <w:noProof/>
        </w:rPr>
        <w:drawing>
          <wp:inline distT="0" distB="0" distL="0" distR="0" wp14:anchorId="7940BDDC" wp14:editId="427498E3">
            <wp:extent cx="3133725" cy="400050"/>
            <wp:effectExtent l="0" t="0" r="0" b="0"/>
            <wp:docPr id="11062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400050"/>
                    </a:xfrm>
                    <a:prstGeom prst="rect">
                      <a:avLst/>
                    </a:prstGeom>
                    <a:noFill/>
                    <a:ln>
                      <a:noFill/>
                    </a:ln>
                  </pic:spPr>
                </pic:pic>
              </a:graphicData>
            </a:graphic>
          </wp:inline>
        </w:drawing>
      </w:r>
    </w:p>
    <w:p w14:paraId="09E2DDE5" w14:textId="77777777" w:rsidR="00F9079D" w:rsidRPr="00F9079D" w:rsidRDefault="00F9079D" w:rsidP="00F9079D"/>
    <w:p w14:paraId="5F674C9E" w14:textId="77777777" w:rsidR="00F9079D" w:rsidRPr="00F9079D" w:rsidRDefault="00F9079D" w:rsidP="00F9079D">
      <w:r w:rsidRPr="00F9079D">
        <w:t xml:space="preserve">The performances are classified into four categories: </w:t>
      </w:r>
    </w:p>
    <w:p w14:paraId="18F32C9B" w14:textId="77777777" w:rsidR="00F9079D" w:rsidRPr="00F9079D" w:rsidRDefault="00F9079D" w:rsidP="00F9079D">
      <w:r w:rsidRPr="00F9079D">
        <w:t xml:space="preserve">Red flag – Average ≤ 2.0 and U-level ≥ 10% (of the participating students). This is a problem area and improvement are needed. </w:t>
      </w:r>
    </w:p>
    <w:p w14:paraId="4402FCAB" w14:textId="77777777" w:rsidR="00F9079D" w:rsidRPr="00F9079D" w:rsidRDefault="00F9079D" w:rsidP="00F9079D">
      <w:r w:rsidRPr="00F9079D">
        <w:t xml:space="preserve">Yellow flag – Average ≤ 2.0 or U-level ≥ 10%, but not both. This is a possible problem area and improvement maybe needed. </w:t>
      </w:r>
    </w:p>
    <w:p w14:paraId="41A3F51A" w14:textId="77777777" w:rsidR="00F9079D" w:rsidRPr="00F9079D" w:rsidRDefault="00F9079D" w:rsidP="00F9079D">
      <w:r w:rsidRPr="00F9079D">
        <w:t xml:space="preserve">Green flag – Average ≥ 2.75 and U-level = 0%. The outcome is well achieved. </w:t>
      </w:r>
    </w:p>
    <w:p w14:paraId="49FEBD23" w14:textId="77777777" w:rsidR="00F9079D" w:rsidRPr="00F9079D" w:rsidRDefault="00F9079D" w:rsidP="00F9079D">
      <w:r w:rsidRPr="00F9079D">
        <w:t>No flag – The scores do not fit any above-colored flag classifications. The performance level is acceptable.</w:t>
      </w:r>
    </w:p>
    <w:p w14:paraId="4CAAC79F" w14:textId="77777777" w:rsidR="00F9079D" w:rsidRPr="00F9079D" w:rsidRDefault="00F9079D" w:rsidP="00F9079D"/>
    <w:p w14:paraId="4EB90BC8" w14:textId="1476A8DB" w:rsidR="00F9079D" w:rsidRPr="00F9079D" w:rsidRDefault="00F9079D" w:rsidP="00F9079D">
      <w:r w:rsidRPr="00F9079D">
        <w:t xml:space="preserve">In </w:t>
      </w:r>
      <w:r w:rsidR="00630E52" w:rsidRPr="00F9079D">
        <w:t>addition, a</w:t>
      </w:r>
      <w:r w:rsidRPr="00F9079D">
        <w:t xml:space="preserve"> criterion of 70% of the students to achieve a score of 3 or higher on a 4-point rubric was used. This </w:t>
      </w:r>
      <w:r w:rsidR="00630E52" w:rsidRPr="00F9079D">
        <w:t>target benchmark</w:t>
      </w:r>
      <w:r w:rsidRPr="00F9079D">
        <w:t xml:space="preserve"> was established based on historical ATMAE data. The courses chosen to measure the outcomes are generally required courses within the major. Each outcome is assessed by both lower-level course(s) and higher-level course(s) to monitor the continuous improvement with the same class of students. The assessment plan has been designed such that students learn, practice, and demonstrate their learning </w:t>
      </w:r>
      <w:r w:rsidRPr="00F9079D">
        <w:lastRenderedPageBreak/>
        <w:t xml:space="preserve">as they advance through the curriculum from simple to more complex concepts and skills. Rubrics with performance indicators were used for the seven learning outcomes. The assessment results for the 2023-2024 cycle are summarized in </w:t>
      </w:r>
      <w:r w:rsidR="00630E52">
        <w:t>the self-study report</w:t>
      </w:r>
      <w:r w:rsidRPr="00F9079D">
        <w:t xml:space="preserve">. The numbers in the EAMU Vector indicate the number of students who achieved the levels of E, A, M, and U respectively. Detailed evaluation of the assessment data for each outcome in each course including the areas of needed improvements was provided by the instructor. This information along with students’ sample works for each outcome is documented and is available for onsite review. </w:t>
      </w:r>
    </w:p>
    <w:p w14:paraId="4B02904B" w14:textId="77777777" w:rsidR="00F9079D" w:rsidRPr="006923F8" w:rsidRDefault="00F9079D" w:rsidP="00327DEF"/>
    <w:sectPr w:rsidR="00F9079D" w:rsidRPr="00692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D777C"/>
    <w:multiLevelType w:val="hybridMultilevel"/>
    <w:tmpl w:val="3E0229DC"/>
    <w:lvl w:ilvl="0" w:tplc="66F8B850">
      <w:start w:val="2"/>
      <w:numFmt w:val="lowerLetter"/>
      <w:lvlText w:val="%1."/>
      <w:lvlJc w:val="left"/>
      <w:pPr>
        <w:ind w:left="2160" w:hanging="360"/>
      </w:pPr>
      <w:rPr>
        <w:rFonts w:ascii="Arial" w:eastAsia="Arial" w:hAnsi="Arial" w:cs="Arial" w:hint="default"/>
        <w:b w:val="0"/>
        <w:bCs w:val="0"/>
        <w:i w:val="0"/>
        <w:iCs w:val="0"/>
        <w:color w:val="808080"/>
        <w:spacing w:val="0"/>
        <w:w w:val="100"/>
        <w:sz w:val="24"/>
        <w:szCs w:val="24"/>
        <w:lang w:val="en-US" w:eastAsia="en-US" w:bidi="ar-SA"/>
      </w:rPr>
    </w:lvl>
    <w:lvl w:ilvl="1" w:tplc="7E4CACD4">
      <w:numFmt w:val="bullet"/>
      <w:lvlText w:val="•"/>
      <w:lvlJc w:val="left"/>
      <w:pPr>
        <w:ind w:left="3110" w:hanging="360"/>
      </w:pPr>
      <w:rPr>
        <w:lang w:val="en-US" w:eastAsia="en-US" w:bidi="ar-SA"/>
      </w:rPr>
    </w:lvl>
    <w:lvl w:ilvl="2" w:tplc="C49ABCF2">
      <w:numFmt w:val="bullet"/>
      <w:lvlText w:val="•"/>
      <w:lvlJc w:val="left"/>
      <w:pPr>
        <w:ind w:left="4060" w:hanging="360"/>
      </w:pPr>
      <w:rPr>
        <w:lang w:val="en-US" w:eastAsia="en-US" w:bidi="ar-SA"/>
      </w:rPr>
    </w:lvl>
    <w:lvl w:ilvl="3" w:tplc="44B2D234">
      <w:numFmt w:val="bullet"/>
      <w:lvlText w:val="•"/>
      <w:lvlJc w:val="left"/>
      <w:pPr>
        <w:ind w:left="5010" w:hanging="360"/>
      </w:pPr>
      <w:rPr>
        <w:lang w:val="en-US" w:eastAsia="en-US" w:bidi="ar-SA"/>
      </w:rPr>
    </w:lvl>
    <w:lvl w:ilvl="4" w:tplc="8F02E5DC">
      <w:numFmt w:val="bullet"/>
      <w:lvlText w:val="•"/>
      <w:lvlJc w:val="left"/>
      <w:pPr>
        <w:ind w:left="5960" w:hanging="360"/>
      </w:pPr>
      <w:rPr>
        <w:lang w:val="en-US" w:eastAsia="en-US" w:bidi="ar-SA"/>
      </w:rPr>
    </w:lvl>
    <w:lvl w:ilvl="5" w:tplc="A816BF84">
      <w:numFmt w:val="bullet"/>
      <w:lvlText w:val="•"/>
      <w:lvlJc w:val="left"/>
      <w:pPr>
        <w:ind w:left="6910" w:hanging="360"/>
      </w:pPr>
      <w:rPr>
        <w:lang w:val="en-US" w:eastAsia="en-US" w:bidi="ar-SA"/>
      </w:rPr>
    </w:lvl>
    <w:lvl w:ilvl="6" w:tplc="AFF27EB8">
      <w:numFmt w:val="bullet"/>
      <w:lvlText w:val="•"/>
      <w:lvlJc w:val="left"/>
      <w:pPr>
        <w:ind w:left="7860" w:hanging="360"/>
      </w:pPr>
      <w:rPr>
        <w:lang w:val="en-US" w:eastAsia="en-US" w:bidi="ar-SA"/>
      </w:rPr>
    </w:lvl>
    <w:lvl w:ilvl="7" w:tplc="BB6232DC">
      <w:numFmt w:val="bullet"/>
      <w:lvlText w:val="•"/>
      <w:lvlJc w:val="left"/>
      <w:pPr>
        <w:ind w:left="8810" w:hanging="360"/>
      </w:pPr>
      <w:rPr>
        <w:lang w:val="en-US" w:eastAsia="en-US" w:bidi="ar-SA"/>
      </w:rPr>
    </w:lvl>
    <w:lvl w:ilvl="8" w:tplc="775A2476">
      <w:numFmt w:val="bullet"/>
      <w:lvlText w:val="•"/>
      <w:lvlJc w:val="left"/>
      <w:pPr>
        <w:ind w:left="9760" w:hanging="360"/>
      </w:pPr>
      <w:rPr>
        <w:lang w:val="en-US" w:eastAsia="en-US" w:bidi="ar-SA"/>
      </w:rPr>
    </w:lvl>
  </w:abstractNum>
  <w:abstractNum w:abstractNumId="1" w15:restartNumberingAfterBreak="0">
    <w:nsid w:val="4C7D11D6"/>
    <w:multiLevelType w:val="hybridMultilevel"/>
    <w:tmpl w:val="09CAD212"/>
    <w:lvl w:ilvl="0" w:tplc="7C461EBA">
      <w:start w:val="1"/>
      <w:numFmt w:val="decimal"/>
      <w:lvlText w:val="%1)"/>
      <w:lvlJc w:val="left"/>
      <w:pPr>
        <w:ind w:left="1800" w:hanging="360"/>
      </w:pPr>
      <w:rPr>
        <w:rFonts w:ascii="Arial" w:eastAsia="Arial" w:hAnsi="Arial" w:cs="Arial" w:hint="default"/>
        <w:b w:val="0"/>
        <w:bCs w:val="0"/>
        <w:i w:val="0"/>
        <w:iCs w:val="0"/>
        <w:color w:val="808080"/>
        <w:spacing w:val="0"/>
        <w:w w:val="99"/>
        <w:sz w:val="24"/>
        <w:szCs w:val="24"/>
        <w:lang w:val="en-US" w:eastAsia="en-US" w:bidi="ar-SA"/>
      </w:rPr>
    </w:lvl>
    <w:lvl w:ilvl="1" w:tplc="4F54B776">
      <w:numFmt w:val="bullet"/>
      <w:lvlText w:val="•"/>
      <w:lvlJc w:val="left"/>
      <w:pPr>
        <w:ind w:left="2786" w:hanging="360"/>
      </w:pPr>
      <w:rPr>
        <w:lang w:val="en-US" w:eastAsia="en-US" w:bidi="ar-SA"/>
      </w:rPr>
    </w:lvl>
    <w:lvl w:ilvl="2" w:tplc="C1AEB30A">
      <w:numFmt w:val="bullet"/>
      <w:lvlText w:val="•"/>
      <w:lvlJc w:val="left"/>
      <w:pPr>
        <w:ind w:left="3772" w:hanging="360"/>
      </w:pPr>
      <w:rPr>
        <w:lang w:val="en-US" w:eastAsia="en-US" w:bidi="ar-SA"/>
      </w:rPr>
    </w:lvl>
    <w:lvl w:ilvl="3" w:tplc="2EEA3A0A">
      <w:numFmt w:val="bullet"/>
      <w:lvlText w:val="•"/>
      <w:lvlJc w:val="left"/>
      <w:pPr>
        <w:ind w:left="4758" w:hanging="360"/>
      </w:pPr>
      <w:rPr>
        <w:lang w:val="en-US" w:eastAsia="en-US" w:bidi="ar-SA"/>
      </w:rPr>
    </w:lvl>
    <w:lvl w:ilvl="4" w:tplc="23749CE2">
      <w:numFmt w:val="bullet"/>
      <w:lvlText w:val="•"/>
      <w:lvlJc w:val="left"/>
      <w:pPr>
        <w:ind w:left="5744" w:hanging="360"/>
      </w:pPr>
      <w:rPr>
        <w:lang w:val="en-US" w:eastAsia="en-US" w:bidi="ar-SA"/>
      </w:rPr>
    </w:lvl>
    <w:lvl w:ilvl="5" w:tplc="FE0CBDD8">
      <w:numFmt w:val="bullet"/>
      <w:lvlText w:val="•"/>
      <w:lvlJc w:val="left"/>
      <w:pPr>
        <w:ind w:left="6730" w:hanging="360"/>
      </w:pPr>
      <w:rPr>
        <w:lang w:val="en-US" w:eastAsia="en-US" w:bidi="ar-SA"/>
      </w:rPr>
    </w:lvl>
    <w:lvl w:ilvl="6" w:tplc="802EEA36">
      <w:numFmt w:val="bullet"/>
      <w:lvlText w:val="•"/>
      <w:lvlJc w:val="left"/>
      <w:pPr>
        <w:ind w:left="7716" w:hanging="360"/>
      </w:pPr>
      <w:rPr>
        <w:lang w:val="en-US" w:eastAsia="en-US" w:bidi="ar-SA"/>
      </w:rPr>
    </w:lvl>
    <w:lvl w:ilvl="7" w:tplc="C212A5C4">
      <w:numFmt w:val="bullet"/>
      <w:lvlText w:val="•"/>
      <w:lvlJc w:val="left"/>
      <w:pPr>
        <w:ind w:left="8702" w:hanging="360"/>
      </w:pPr>
      <w:rPr>
        <w:lang w:val="en-US" w:eastAsia="en-US" w:bidi="ar-SA"/>
      </w:rPr>
    </w:lvl>
    <w:lvl w:ilvl="8" w:tplc="CFEC101A">
      <w:numFmt w:val="bullet"/>
      <w:lvlText w:val="•"/>
      <w:lvlJc w:val="left"/>
      <w:pPr>
        <w:ind w:left="9688" w:hanging="360"/>
      </w:pPr>
      <w:rPr>
        <w:lang w:val="en-US" w:eastAsia="en-US" w:bidi="ar-SA"/>
      </w:rPr>
    </w:lvl>
  </w:abstractNum>
  <w:num w:numId="1" w16cid:durableId="1947885127">
    <w:abstractNumId w:val="1"/>
    <w:lvlOverride w:ilvl="0">
      <w:startOverride w:val="1"/>
    </w:lvlOverride>
    <w:lvlOverride w:ilvl="1"/>
    <w:lvlOverride w:ilvl="2"/>
    <w:lvlOverride w:ilvl="3"/>
    <w:lvlOverride w:ilvl="4"/>
    <w:lvlOverride w:ilvl="5"/>
    <w:lvlOverride w:ilvl="6"/>
    <w:lvlOverride w:ilvl="7"/>
    <w:lvlOverride w:ilvl="8"/>
  </w:num>
  <w:num w:numId="2" w16cid:durableId="1777409662">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6409"/>
    <w:rsid w:val="00001B63"/>
    <w:rsid w:val="0004728D"/>
    <w:rsid w:val="00085BF2"/>
    <w:rsid w:val="00085C91"/>
    <w:rsid w:val="000F4E27"/>
    <w:rsid w:val="001C3B5C"/>
    <w:rsid w:val="001C43EE"/>
    <w:rsid w:val="001D5DF3"/>
    <w:rsid w:val="001F4297"/>
    <w:rsid w:val="001F51AE"/>
    <w:rsid w:val="002333B5"/>
    <w:rsid w:val="00280A16"/>
    <w:rsid w:val="002C7A00"/>
    <w:rsid w:val="00327DEF"/>
    <w:rsid w:val="0039210C"/>
    <w:rsid w:val="003D4912"/>
    <w:rsid w:val="00422E2D"/>
    <w:rsid w:val="00441D88"/>
    <w:rsid w:val="00443FD5"/>
    <w:rsid w:val="00461855"/>
    <w:rsid w:val="0046244E"/>
    <w:rsid w:val="004866F3"/>
    <w:rsid w:val="004E0632"/>
    <w:rsid w:val="004F1A51"/>
    <w:rsid w:val="00506264"/>
    <w:rsid w:val="00542F59"/>
    <w:rsid w:val="00547166"/>
    <w:rsid w:val="005D62CF"/>
    <w:rsid w:val="0063024F"/>
    <w:rsid w:val="00630E52"/>
    <w:rsid w:val="006923F8"/>
    <w:rsid w:val="00693AA2"/>
    <w:rsid w:val="006C0839"/>
    <w:rsid w:val="006E79DE"/>
    <w:rsid w:val="00700F52"/>
    <w:rsid w:val="007071BD"/>
    <w:rsid w:val="00713AF7"/>
    <w:rsid w:val="007145FB"/>
    <w:rsid w:val="007271E8"/>
    <w:rsid w:val="00764B44"/>
    <w:rsid w:val="00774557"/>
    <w:rsid w:val="007E7EF8"/>
    <w:rsid w:val="008677A0"/>
    <w:rsid w:val="00873C83"/>
    <w:rsid w:val="00916D45"/>
    <w:rsid w:val="0097200D"/>
    <w:rsid w:val="0097446A"/>
    <w:rsid w:val="00A033AE"/>
    <w:rsid w:val="00A2523D"/>
    <w:rsid w:val="00A34014"/>
    <w:rsid w:val="00AD1CC1"/>
    <w:rsid w:val="00B61B64"/>
    <w:rsid w:val="00B70BF8"/>
    <w:rsid w:val="00B770A1"/>
    <w:rsid w:val="00B81A59"/>
    <w:rsid w:val="00B97D99"/>
    <w:rsid w:val="00BD079A"/>
    <w:rsid w:val="00C36409"/>
    <w:rsid w:val="00CD0353"/>
    <w:rsid w:val="00D12A68"/>
    <w:rsid w:val="00D12F48"/>
    <w:rsid w:val="00D168C5"/>
    <w:rsid w:val="00D55DE8"/>
    <w:rsid w:val="00D74E23"/>
    <w:rsid w:val="00D96875"/>
    <w:rsid w:val="00DB66DC"/>
    <w:rsid w:val="00DC24D1"/>
    <w:rsid w:val="00DD78CE"/>
    <w:rsid w:val="00EE7BCD"/>
    <w:rsid w:val="00F45F6B"/>
    <w:rsid w:val="00F9079D"/>
    <w:rsid w:val="00FA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9389"/>
  <w15:chartTrackingRefBased/>
  <w15:docId w15:val="{ABC1DE2F-F754-45B1-96DB-FFF63B01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4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4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4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4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4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4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4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4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4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4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4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4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4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4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4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4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4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409"/>
    <w:rPr>
      <w:rFonts w:eastAsiaTheme="majorEastAsia" w:cstheme="majorBidi"/>
      <w:color w:val="272727" w:themeColor="text1" w:themeTint="D8"/>
    </w:rPr>
  </w:style>
  <w:style w:type="paragraph" w:styleId="Title">
    <w:name w:val="Title"/>
    <w:basedOn w:val="Normal"/>
    <w:next w:val="Normal"/>
    <w:link w:val="TitleChar"/>
    <w:uiPriority w:val="10"/>
    <w:qFormat/>
    <w:rsid w:val="00C364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4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4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4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409"/>
    <w:pPr>
      <w:spacing w:before="160"/>
      <w:jc w:val="center"/>
    </w:pPr>
    <w:rPr>
      <w:i/>
      <w:iCs/>
      <w:color w:val="404040" w:themeColor="text1" w:themeTint="BF"/>
    </w:rPr>
  </w:style>
  <w:style w:type="character" w:customStyle="1" w:styleId="QuoteChar">
    <w:name w:val="Quote Char"/>
    <w:basedOn w:val="DefaultParagraphFont"/>
    <w:link w:val="Quote"/>
    <w:uiPriority w:val="29"/>
    <w:rsid w:val="00C36409"/>
    <w:rPr>
      <w:i/>
      <w:iCs/>
      <w:color w:val="404040" w:themeColor="text1" w:themeTint="BF"/>
    </w:rPr>
  </w:style>
  <w:style w:type="paragraph" w:styleId="ListParagraph">
    <w:name w:val="List Paragraph"/>
    <w:basedOn w:val="Normal"/>
    <w:uiPriority w:val="34"/>
    <w:qFormat/>
    <w:rsid w:val="00C36409"/>
    <w:pPr>
      <w:ind w:left="720"/>
      <w:contextualSpacing/>
    </w:pPr>
  </w:style>
  <w:style w:type="character" w:styleId="IntenseEmphasis">
    <w:name w:val="Intense Emphasis"/>
    <w:basedOn w:val="DefaultParagraphFont"/>
    <w:uiPriority w:val="21"/>
    <w:qFormat/>
    <w:rsid w:val="00C36409"/>
    <w:rPr>
      <w:i/>
      <w:iCs/>
      <w:color w:val="0F4761" w:themeColor="accent1" w:themeShade="BF"/>
    </w:rPr>
  </w:style>
  <w:style w:type="paragraph" w:styleId="IntenseQuote">
    <w:name w:val="Intense Quote"/>
    <w:basedOn w:val="Normal"/>
    <w:next w:val="Normal"/>
    <w:link w:val="IntenseQuoteChar"/>
    <w:uiPriority w:val="30"/>
    <w:qFormat/>
    <w:rsid w:val="00C364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409"/>
    <w:rPr>
      <w:i/>
      <w:iCs/>
      <w:color w:val="0F4761" w:themeColor="accent1" w:themeShade="BF"/>
    </w:rPr>
  </w:style>
  <w:style w:type="character" w:styleId="IntenseReference">
    <w:name w:val="Intense Reference"/>
    <w:basedOn w:val="DefaultParagraphFont"/>
    <w:uiPriority w:val="32"/>
    <w:qFormat/>
    <w:rsid w:val="00C36409"/>
    <w:rPr>
      <w:b/>
      <w:bCs/>
      <w:smallCaps/>
      <w:color w:val="0F4761" w:themeColor="accent1" w:themeShade="BF"/>
      <w:spacing w:val="5"/>
    </w:rPr>
  </w:style>
  <w:style w:type="paragraph" w:styleId="BodyText">
    <w:name w:val="Body Text"/>
    <w:basedOn w:val="Heading2"/>
    <w:link w:val="BodyTextChar"/>
    <w:rsid w:val="00C36409"/>
    <w:pPr>
      <w:keepNext w:val="0"/>
      <w:keepLines w:val="0"/>
      <w:tabs>
        <w:tab w:val="left" w:pos="900"/>
      </w:tabs>
      <w:spacing w:after="160" w:line="240" w:lineRule="auto"/>
      <w:ind w:left="907"/>
    </w:pPr>
    <w:rPr>
      <w:rFonts w:ascii="Arial" w:eastAsia="Times New Roman" w:hAnsi="Arial" w:cs="Arial"/>
      <w:color w:val="auto"/>
      <w:kern w:val="0"/>
      <w:sz w:val="22"/>
      <w:szCs w:val="22"/>
    </w:rPr>
  </w:style>
  <w:style w:type="character" w:customStyle="1" w:styleId="BodyTextChar">
    <w:name w:val="Body Text Char"/>
    <w:basedOn w:val="DefaultParagraphFont"/>
    <w:link w:val="BodyText"/>
    <w:rsid w:val="00C36409"/>
    <w:rPr>
      <w:rFonts w:ascii="Arial" w:eastAsia="Times New Roman" w:hAnsi="Arial" w:cs="Arial"/>
      <w:kern w:val="0"/>
      <w:sz w:val="22"/>
      <w:szCs w:val="22"/>
    </w:rPr>
  </w:style>
  <w:style w:type="character" w:styleId="Hyperlink">
    <w:name w:val="Hyperlink"/>
    <w:basedOn w:val="DefaultParagraphFont"/>
    <w:uiPriority w:val="99"/>
    <w:unhideWhenUsed/>
    <w:rsid w:val="00F9079D"/>
    <w:rPr>
      <w:color w:val="467886" w:themeColor="hyperlink"/>
      <w:u w:val="single"/>
    </w:rPr>
  </w:style>
  <w:style w:type="character" w:styleId="UnresolvedMention">
    <w:name w:val="Unresolved Mention"/>
    <w:basedOn w:val="DefaultParagraphFont"/>
    <w:uiPriority w:val="99"/>
    <w:semiHidden/>
    <w:unhideWhenUsed/>
    <w:rsid w:val="00F90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254801">
      <w:bodyDiv w:val="1"/>
      <w:marLeft w:val="0"/>
      <w:marRight w:val="0"/>
      <w:marTop w:val="0"/>
      <w:marBottom w:val="0"/>
      <w:divBdr>
        <w:top w:val="none" w:sz="0" w:space="0" w:color="auto"/>
        <w:left w:val="none" w:sz="0" w:space="0" w:color="auto"/>
        <w:bottom w:val="none" w:sz="0" w:space="0" w:color="auto"/>
        <w:right w:val="none" w:sz="0" w:space="0" w:color="auto"/>
      </w:divBdr>
    </w:div>
    <w:div w:id="748424322">
      <w:bodyDiv w:val="1"/>
      <w:marLeft w:val="0"/>
      <w:marRight w:val="0"/>
      <w:marTop w:val="0"/>
      <w:marBottom w:val="0"/>
      <w:divBdr>
        <w:top w:val="none" w:sz="0" w:space="0" w:color="auto"/>
        <w:left w:val="none" w:sz="0" w:space="0" w:color="auto"/>
        <w:bottom w:val="none" w:sz="0" w:space="0" w:color="auto"/>
        <w:right w:val="none" w:sz="0" w:space="0" w:color="auto"/>
      </w:divBdr>
    </w:div>
    <w:div w:id="1879395823">
      <w:bodyDiv w:val="1"/>
      <w:marLeft w:val="0"/>
      <w:marRight w:val="0"/>
      <w:marTop w:val="0"/>
      <w:marBottom w:val="0"/>
      <w:divBdr>
        <w:top w:val="none" w:sz="0" w:space="0" w:color="auto"/>
        <w:left w:val="none" w:sz="0" w:space="0" w:color="auto"/>
        <w:bottom w:val="none" w:sz="0" w:space="0" w:color="auto"/>
        <w:right w:val="none" w:sz="0" w:space="0" w:color="auto"/>
      </w:divBdr>
    </w:div>
    <w:div w:id="19312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accreditationpre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nstate.edu/engineering/scholarships.aspx" TargetMode="External"/><Relationship Id="rId11" Type="http://schemas.openxmlformats.org/officeDocument/2006/relationships/theme" Target="theme/theme1.xml"/><Relationship Id="rId5" Type="http://schemas.openxmlformats.org/officeDocument/2006/relationships/hyperlink" Target="https://www.tnstate.edu/engineering/news.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892</Words>
  <Characters>5085</Characters>
  <Application>Microsoft Office Word</Application>
  <DocSecurity>0</DocSecurity>
  <Lines>42</Lines>
  <Paragraphs>11</Paragraphs>
  <ScaleCrop>false</ScaleCrop>
  <Company>Tennessee State University</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Lin (lli1)</dc:creator>
  <cp:keywords/>
  <dc:description/>
  <cp:lastModifiedBy>Li, Lin (lli1)</cp:lastModifiedBy>
  <cp:revision>68</cp:revision>
  <dcterms:created xsi:type="dcterms:W3CDTF">2025-04-29T13:14:00Z</dcterms:created>
  <dcterms:modified xsi:type="dcterms:W3CDTF">2025-04-29T21:16:00Z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bc328-2da9-4b02-83d3-3cec76ab836e_Enabled">
    <vt:lpwstr>true</vt:lpwstr>
  </property>
  <property fmtid="{D5CDD505-2E9C-101B-9397-08002B2CF9AE}" pid="3" name="MSIP_Label_cc6bc328-2da9-4b02-83d3-3cec76ab836e_SetDate">
    <vt:lpwstr>2025-04-29T13:16:47Z</vt:lpwstr>
  </property>
  <property fmtid="{D5CDD505-2E9C-101B-9397-08002B2CF9AE}" pid="4" name="MSIP_Label_cc6bc328-2da9-4b02-83d3-3cec76ab836e_Method">
    <vt:lpwstr>Standard</vt:lpwstr>
  </property>
  <property fmtid="{D5CDD505-2E9C-101B-9397-08002B2CF9AE}" pid="5" name="MSIP_Label_cc6bc328-2da9-4b02-83d3-3cec76ab836e_Name">
    <vt:lpwstr>defa4170-0d19-0005-0004-bc88714345d2</vt:lpwstr>
  </property>
  <property fmtid="{D5CDD505-2E9C-101B-9397-08002B2CF9AE}" pid="6" name="MSIP_Label_cc6bc328-2da9-4b02-83d3-3cec76ab836e_SiteId">
    <vt:lpwstr>7c539505-f129-46ae-a6cf-ecaf413b8b0d</vt:lpwstr>
  </property>
  <property fmtid="{D5CDD505-2E9C-101B-9397-08002B2CF9AE}" pid="7" name="MSIP_Label_cc6bc328-2da9-4b02-83d3-3cec76ab836e_ActionId">
    <vt:lpwstr>d1481226-f780-4d06-a58c-6cf2c627e60e</vt:lpwstr>
  </property>
  <property fmtid="{D5CDD505-2E9C-101B-9397-08002B2CF9AE}" pid="8" name="MSIP_Label_cc6bc328-2da9-4b02-83d3-3cec76ab836e_ContentBits">
    <vt:lpwstr>0</vt:lpwstr>
  </property>
  <property fmtid="{D5CDD505-2E9C-101B-9397-08002B2CF9AE}" pid="9" name="MSIP_Label_cc6bc328-2da9-4b02-83d3-3cec76ab836e_Tag">
    <vt:lpwstr>10, 3, 0, 1</vt:lpwstr>
  </property>
</Properties>
</file>