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1EAF" w:rsidRPr="001B2426" w:rsidRDefault="00A81EAF" w:rsidP="00A81EAF">
      <w:pPr>
        <w:jc w:val="center"/>
        <w:rPr>
          <w:b/>
        </w:rPr>
      </w:pPr>
    </w:p>
    <w:p w:rsidR="002F4639" w:rsidRPr="00C831E5" w:rsidRDefault="00C831E5" w:rsidP="002F4639">
      <w:pPr>
        <w:jc w:val="center"/>
        <w:rPr>
          <w:b/>
          <w:sz w:val="44"/>
          <w:szCs w:val="44"/>
        </w:rPr>
      </w:pPr>
      <w:r w:rsidRPr="00C831E5">
        <w:rPr>
          <w:b/>
          <w:sz w:val="44"/>
          <w:szCs w:val="44"/>
        </w:rPr>
        <w:t>National Pan-Hellenic Council Greek Showcase</w:t>
      </w:r>
      <w:r w:rsidR="0055081D" w:rsidRPr="00C831E5">
        <w:rPr>
          <w:b/>
          <w:sz w:val="44"/>
          <w:szCs w:val="44"/>
        </w:rPr>
        <w:t xml:space="preserve"> Policy</w:t>
      </w:r>
    </w:p>
    <w:p w:rsidR="006B1F99" w:rsidRPr="00C831E5" w:rsidRDefault="006B1F99" w:rsidP="002F4639">
      <w:pPr>
        <w:jc w:val="center"/>
        <w:rPr>
          <w:b/>
          <w:sz w:val="16"/>
          <w:szCs w:val="16"/>
        </w:rPr>
      </w:pPr>
    </w:p>
    <w:p w:rsidR="00C831E5" w:rsidRPr="00C831E5" w:rsidRDefault="00C831E5" w:rsidP="00C831E5">
      <w:pPr>
        <w:pStyle w:val="Default"/>
        <w:rPr>
          <w:sz w:val="22"/>
          <w:szCs w:val="22"/>
        </w:rPr>
      </w:pPr>
      <w:r w:rsidRPr="00C831E5">
        <w:rPr>
          <w:sz w:val="22"/>
          <w:szCs w:val="22"/>
        </w:rPr>
        <w:t xml:space="preserve">It is understood that National Pan-Hellenic Council Greek Showcases are an integral part of the fraternity and sorority experience. Tennessee State University recognizes that the participation in this tradition can have significant impact on the creation of community and sense of pride within the organizations that traditionally participate. Despite the generally positive nature of this practice, some issues related to hazing, safety, disrespect, and inappropriateness have been associated to these shows and their rehearsal processes. In an effort to provide guidance that will enable the successful and positive continuation of the tradition of showcases, the Office of Student Activities has established the following guidelines to ensure the success of planning and executing a showcase at Tennessee State University. All organizations must adhere to the following showcase guidelines when presenting new members: </w:t>
      </w:r>
    </w:p>
    <w:p w:rsidR="00C831E5" w:rsidRPr="00C831E5" w:rsidRDefault="00C831E5" w:rsidP="00C831E5">
      <w:pPr>
        <w:pStyle w:val="Default"/>
        <w:rPr>
          <w:sz w:val="22"/>
          <w:szCs w:val="22"/>
        </w:rPr>
      </w:pPr>
    </w:p>
    <w:p w:rsidR="00C831E5" w:rsidRPr="00C831E5" w:rsidRDefault="00C831E5" w:rsidP="00C831E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sidRPr="00C831E5">
        <w:rPr>
          <w:sz w:val="22"/>
          <w:szCs w:val="22"/>
        </w:rPr>
        <w:t xml:space="preserve">The Office of Student Activities must approve all showcases at least twenty-one (21) business days prior to the performance. Organizations requesting to have a showcase must sign the NPHC Greek Showcase Contract before practices begin. </w:t>
      </w:r>
    </w:p>
    <w:p w:rsidR="00C831E5" w:rsidRPr="00C831E5" w:rsidRDefault="00C831E5" w:rsidP="00C831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p>
    <w:p w:rsidR="00C831E5" w:rsidRPr="00C831E5" w:rsidRDefault="00C831E5" w:rsidP="00C831E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C831E5">
        <w:rPr>
          <w:sz w:val="22"/>
          <w:szCs w:val="22"/>
        </w:rPr>
        <w:t xml:space="preserve">All organizations hosting showcases must submit written approval from a national or regional representative allowing the activity to take place. </w:t>
      </w:r>
    </w:p>
    <w:p w:rsidR="00C831E5" w:rsidRPr="00C831E5" w:rsidRDefault="00C831E5" w:rsidP="00C831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rsidR="00C831E5" w:rsidRPr="00C831E5" w:rsidRDefault="00C831E5" w:rsidP="00C831E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sidRPr="00C831E5">
        <w:rPr>
          <w:sz w:val="22"/>
          <w:szCs w:val="22"/>
        </w:rPr>
        <w:t xml:space="preserve">The facility spaces for the showcases, practices, and preview show must be properly requisitioned and approved by the Office of Student Activities by required requisitioning deadlines. </w:t>
      </w:r>
    </w:p>
    <w:p w:rsidR="00C831E5" w:rsidRPr="00C831E5" w:rsidRDefault="00C831E5" w:rsidP="00C831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p>
    <w:p w:rsidR="00C831E5" w:rsidRPr="00C831E5" w:rsidRDefault="00C831E5" w:rsidP="00C831E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sidRPr="00C831E5">
        <w:rPr>
          <w:sz w:val="22"/>
          <w:szCs w:val="22"/>
        </w:rPr>
        <w:t xml:space="preserve">Showcases can only be scheduled for a Saturday from 1-3pm with doors opening at 1p.m. and closing at 3p.m. Presentations must begin no later than 1:30p.m. and last no longer than 45 minutes.  Everything must be on time and penalties can occur if the time is not adhered to. The presenting organization will be responsible for ensuring the site used is left in its original state after use. </w:t>
      </w:r>
    </w:p>
    <w:p w:rsidR="00C831E5" w:rsidRPr="00C831E5" w:rsidRDefault="00C831E5" w:rsidP="00C831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p>
    <w:p w:rsidR="00C831E5" w:rsidRPr="00C831E5" w:rsidRDefault="00C831E5" w:rsidP="00C831E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Pr>
          <w:sz w:val="22"/>
          <w:szCs w:val="22"/>
        </w:rPr>
        <w:t xml:space="preserve">   </w:t>
      </w:r>
      <w:r w:rsidRPr="00C831E5">
        <w:rPr>
          <w:sz w:val="22"/>
          <w:szCs w:val="22"/>
        </w:rPr>
        <w:t xml:space="preserve">Showcases are not to be scheduled on the same night/time of a previously planned event of another chapter of the National Pan-Hellenic Council. </w:t>
      </w:r>
    </w:p>
    <w:p w:rsidR="00C831E5" w:rsidRPr="00C831E5" w:rsidRDefault="00C831E5" w:rsidP="00C831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p>
    <w:p w:rsidR="00C831E5" w:rsidRPr="00C831E5" w:rsidRDefault="00C831E5" w:rsidP="00C831E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sidRPr="00C831E5">
        <w:rPr>
          <w:sz w:val="22"/>
          <w:szCs w:val="22"/>
        </w:rPr>
        <w:t xml:space="preserve">   The advisors of the organization must be present during the entire showcase from the time the doors open to the time the doors close. </w:t>
      </w:r>
    </w:p>
    <w:p w:rsidR="00C831E5" w:rsidRPr="00C831E5" w:rsidRDefault="00C831E5" w:rsidP="00C831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p>
    <w:p w:rsidR="00C831E5" w:rsidRPr="00C831E5" w:rsidRDefault="00C831E5" w:rsidP="00C831E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sidRPr="00C831E5">
        <w:rPr>
          <w:sz w:val="22"/>
          <w:szCs w:val="22"/>
        </w:rPr>
        <w:t xml:space="preserve">The hosting organization is responsible for securing TSU police for the event and providing a writing approval by the TSU Police to the Office of Student Activities at least 21 days in advance.  </w:t>
      </w:r>
    </w:p>
    <w:p w:rsidR="00C831E5" w:rsidRPr="00C831E5" w:rsidRDefault="00C831E5" w:rsidP="00C831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p>
    <w:p w:rsidR="00C831E5" w:rsidRPr="00C831E5" w:rsidRDefault="00C831E5" w:rsidP="00C831E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sidRPr="00C831E5">
        <w:rPr>
          <w:sz w:val="22"/>
          <w:szCs w:val="22"/>
        </w:rPr>
        <w:t xml:space="preserve">No showcases can occur during midterms, finals, winter break, spring break, Homecoming Week, and Student Election Commission Week. </w:t>
      </w:r>
    </w:p>
    <w:p w:rsidR="00C831E5" w:rsidRPr="00C831E5" w:rsidRDefault="00C831E5" w:rsidP="00C831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sidRPr="00C831E5">
        <w:rPr>
          <w:sz w:val="22"/>
          <w:szCs w:val="22"/>
        </w:rPr>
        <w:t xml:space="preserve">   </w:t>
      </w:r>
    </w:p>
    <w:p w:rsidR="00C831E5" w:rsidRDefault="00C831E5" w:rsidP="00C831E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C831E5">
        <w:rPr>
          <w:sz w:val="22"/>
          <w:szCs w:val="22"/>
        </w:rPr>
        <w:t xml:space="preserve">   A staff member of the Office of Student Activities and an Advisor of the National Pan-Hellenic Council MUST be in attendance at all showcases. It is the responsibility of the presenting organization to coordinate with the Office of Student Activities to schedule a staff member to be present. Requests less than two weeks before the event will not be honored. </w:t>
      </w:r>
    </w:p>
    <w:p w:rsidR="00C831E5" w:rsidRPr="00C831E5" w:rsidRDefault="00C831E5" w:rsidP="00C83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bookmarkStart w:id="0" w:name="_GoBack"/>
      <w:bookmarkEnd w:id="0"/>
    </w:p>
    <w:p w:rsidR="00C831E5" w:rsidRPr="00C831E5" w:rsidRDefault="00C831E5" w:rsidP="00C831E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sidRPr="00C831E5">
        <w:rPr>
          <w:sz w:val="22"/>
          <w:szCs w:val="22"/>
        </w:rPr>
        <w:t xml:space="preserve">   The Office of the Student Activities and the NPHC Advisors must preview all showcases at least three (3) days before the scheduled showcase. The organization is responsible for scheduling the Preview with the Office of Student Activities at least ten (10) days before the date of the Showcase to ensure the availability of the Student Activities staff and NPHC Advisor(s). The Preview Show must be exactly as the actual showcase is intended. Any deviations during the showcase will be violations to this policy and will result in penalties.</w:t>
      </w:r>
    </w:p>
    <w:p w:rsidR="00C831E5" w:rsidRPr="00C831E5" w:rsidRDefault="00C831E5" w:rsidP="00C831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p>
    <w:p w:rsidR="00C831E5" w:rsidRPr="00C831E5" w:rsidRDefault="00C831E5" w:rsidP="00C831E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sidRPr="00C831E5">
        <w:rPr>
          <w:sz w:val="22"/>
          <w:szCs w:val="22"/>
        </w:rPr>
        <w:t xml:space="preserve">Everything regarding the format of the show must be disclosed to the Office of Student Activities. There cannot be any surprises. The organization will be held accountable for any action that breaks the rules of the student code of conduct or the policies regarding student organizations and showcases. Violations can result in immediate cease and desist (no meetings, events, or wearing of paraphernalia), probation (limitations on activities), lost of the organization’s Greek Week, or any other penalties deemed appropriate by the Office of Student Conduct. </w:t>
      </w:r>
    </w:p>
    <w:p w:rsidR="00C831E5" w:rsidRPr="00C831E5" w:rsidRDefault="00C831E5" w:rsidP="00C831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sidRPr="00C831E5">
        <w:rPr>
          <w:sz w:val="22"/>
          <w:szCs w:val="22"/>
        </w:rPr>
        <w:t xml:space="preserve"> </w:t>
      </w:r>
    </w:p>
    <w:p w:rsidR="00C831E5" w:rsidRPr="00C831E5" w:rsidRDefault="00C831E5" w:rsidP="00C831E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Pr>
          <w:sz w:val="22"/>
          <w:szCs w:val="22"/>
        </w:rPr>
        <w:t xml:space="preserve">   </w:t>
      </w:r>
      <w:r w:rsidRPr="00C831E5">
        <w:rPr>
          <w:sz w:val="22"/>
          <w:szCs w:val="22"/>
        </w:rPr>
        <w:t xml:space="preserve">No alcoholic beverages are permitted at the event. </w:t>
      </w:r>
    </w:p>
    <w:p w:rsidR="00C831E5" w:rsidRPr="00C831E5" w:rsidRDefault="00C831E5" w:rsidP="00C831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p>
    <w:p w:rsidR="00C831E5" w:rsidRPr="00C831E5" w:rsidRDefault="00C831E5" w:rsidP="00C831E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sidRPr="00C831E5">
        <w:rPr>
          <w:sz w:val="22"/>
          <w:szCs w:val="22"/>
        </w:rPr>
        <w:t xml:space="preserve">Participation in the show must be truly optional for neophytes/new members. Any pressure or coercion to participate in the show will not be permitted. Participants must sign the Showcase Participants Agreement Form to indicate that they have not been pressured or coerced. </w:t>
      </w:r>
    </w:p>
    <w:p w:rsidR="00C831E5" w:rsidRPr="00C831E5" w:rsidRDefault="00C831E5" w:rsidP="00C831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p>
    <w:p w:rsidR="00C831E5" w:rsidRPr="00C831E5" w:rsidRDefault="00C831E5" w:rsidP="00C831E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sidRPr="00C831E5">
        <w:rPr>
          <w:sz w:val="22"/>
          <w:szCs w:val="22"/>
        </w:rPr>
        <w:t xml:space="preserve">No hazing, as defined by the group’s national organization, Tennessee State University and the State of Tennessee, may occur prior to, during, or after the showcase.   </w:t>
      </w:r>
    </w:p>
    <w:p w:rsidR="00C831E5" w:rsidRPr="00C831E5" w:rsidRDefault="00C831E5" w:rsidP="00C831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p>
    <w:p w:rsidR="00C831E5" w:rsidRPr="00C831E5" w:rsidRDefault="00C831E5" w:rsidP="00C831E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sidRPr="00C831E5">
        <w:rPr>
          <w:sz w:val="22"/>
          <w:szCs w:val="22"/>
        </w:rPr>
        <w:t xml:space="preserve">Rehearsals/practices for the show must be held at reasonable hours and be positive in nature. Forced calisthenics and physical demands outside of what is considered reasonable for practicing of the showcase is not permitted. </w:t>
      </w:r>
    </w:p>
    <w:p w:rsidR="00C831E5" w:rsidRPr="00C831E5" w:rsidRDefault="00C831E5" w:rsidP="00C831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p>
    <w:p w:rsidR="00C831E5" w:rsidRPr="00C831E5" w:rsidRDefault="00C831E5" w:rsidP="00C831E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sidRPr="00C831E5">
        <w:rPr>
          <w:sz w:val="22"/>
          <w:szCs w:val="22"/>
        </w:rPr>
        <w:t xml:space="preserve">   No physical abuse will be tolerated. This includes, but is not limited to: slapping, kicking, spitting, punching, pushing, poking, caning, etc. Canes, staffs, sticks, etc. may be used as a part of the performance, but may not be used as a weapon to harm another individual. No paddles or bricks are permitted anywhere at or during the show.</w:t>
      </w:r>
    </w:p>
    <w:p w:rsidR="00C831E5" w:rsidRPr="00C831E5" w:rsidRDefault="00C831E5" w:rsidP="00C831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p>
    <w:p w:rsidR="00C831E5" w:rsidRPr="00C831E5" w:rsidRDefault="00C831E5" w:rsidP="00C831E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sidRPr="00C831E5">
        <w:rPr>
          <w:sz w:val="22"/>
          <w:szCs w:val="22"/>
        </w:rPr>
        <w:t>Profane/explicit language in chants, music or spoken words is prohibited. The new member or other “showcase” participants are to wear no revealing attire.</w:t>
      </w:r>
    </w:p>
    <w:p w:rsidR="00C831E5" w:rsidRPr="00C831E5" w:rsidRDefault="00C831E5" w:rsidP="00C831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sidRPr="00C831E5">
        <w:rPr>
          <w:sz w:val="22"/>
          <w:szCs w:val="22"/>
        </w:rPr>
        <w:t xml:space="preserve"> </w:t>
      </w:r>
    </w:p>
    <w:p w:rsidR="00C831E5" w:rsidRPr="00C831E5" w:rsidRDefault="00C831E5" w:rsidP="00C831E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sidRPr="00C831E5">
        <w:rPr>
          <w:sz w:val="22"/>
          <w:szCs w:val="22"/>
        </w:rPr>
        <w:t>Disruptions by other attending organizations (whether collegiate, graduate, or out-of-town fraternity/sorority visitors) will not be tolerated. This includes, but is not limited to: walking through the presenters’ show, talking over the presenting organization, being insubordinate to authority, fighting, etc. Groups or individuals who cause a disruption will be asked to leave the performance and may face judicial or conduct charges. The organization is responsible for maintaining order at the showcase. In the event of a fight during the presentation, then those fighting will be disciplined immediately. If a member of the presenting organization is involved, the presentation show will be stopped immediately.</w:t>
      </w:r>
    </w:p>
    <w:p w:rsidR="00C831E5" w:rsidRPr="00C831E5" w:rsidRDefault="00C831E5" w:rsidP="00C831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p>
    <w:p w:rsidR="00C831E5" w:rsidRPr="00C831E5" w:rsidRDefault="00C831E5" w:rsidP="00C831E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sidRPr="00C831E5">
        <w:rPr>
          <w:sz w:val="22"/>
          <w:szCs w:val="22"/>
        </w:rPr>
        <w:t xml:space="preserve">  All shows must respect new members, members, alumni, other organizations, and the University. Under no circumstances will degrading or negative sentiments towards another organization, chapter or another chapter’s members be permitted. This type of behavior includes mocking signature steps or calls in order to cause laughter or poke fun. Under no circumstances will profanity, racism, sexual innuendos, obscene gestures or hate towards another culture, gender, or identity be permitted. Should any of these violations occur, the organization will be subject to discipline by the Office of Student Activities.</w:t>
      </w:r>
    </w:p>
    <w:p w:rsidR="00C831E5" w:rsidRPr="00C831E5" w:rsidRDefault="00C831E5" w:rsidP="00C831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sidRPr="00C831E5">
        <w:rPr>
          <w:sz w:val="22"/>
          <w:szCs w:val="22"/>
        </w:rPr>
        <w:t xml:space="preserve">  </w:t>
      </w:r>
    </w:p>
    <w:p w:rsidR="004D798D" w:rsidRPr="00C831E5" w:rsidRDefault="00C831E5" w:rsidP="00C831E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Pr>
          <w:sz w:val="22"/>
          <w:szCs w:val="22"/>
        </w:rPr>
        <w:t xml:space="preserve">   </w:t>
      </w:r>
      <w:r w:rsidRPr="00C831E5">
        <w:rPr>
          <w:sz w:val="22"/>
          <w:szCs w:val="22"/>
        </w:rPr>
        <w:t>Showcases are only open to TSU students with TSU ID and family and friends that are listed on NPHC Greek Showcase Guest List Form. The guest list cannot have more than 325 guests and must be submitted at least 48 hours before the day of the showcase. No exceptions will be made. The Office of Student Activities will provide wristbands to the advisors of the organization for the individuals listed on the Guest List Form. The advisors are responsible for getting the names of the guests from the participants of the showcase and for distributing the wristbands. The presenting organization will be held responsible for all guests attending their show.</w:t>
      </w:r>
    </w:p>
    <w:sectPr w:rsidR="004D798D" w:rsidRPr="00C831E5" w:rsidSect="002E3DF8">
      <w:headerReference w:type="default" r:id="rId8"/>
      <w:pgSz w:w="12240" w:h="15840"/>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C16C9" w:rsidRDefault="00FC16C9" w:rsidP="00A81EAF">
      <w:r>
        <w:separator/>
      </w:r>
    </w:p>
  </w:endnote>
  <w:endnote w:type="continuationSeparator" w:id="1">
    <w:p w:rsidR="00FC16C9" w:rsidRDefault="00FC16C9" w:rsidP="00A81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C16C9" w:rsidRDefault="00FC16C9" w:rsidP="00A81EAF">
      <w:r>
        <w:separator/>
      </w:r>
    </w:p>
  </w:footnote>
  <w:footnote w:type="continuationSeparator" w:id="1">
    <w:p w:rsidR="00FC16C9" w:rsidRDefault="00FC16C9" w:rsidP="00A81EA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16C9" w:rsidRPr="002E3DF8" w:rsidRDefault="00FC16C9" w:rsidP="002E3DF8">
    <w:pPr>
      <w:pStyle w:val="Footer"/>
      <w:ind w:left="720"/>
      <w:jc w:val="right"/>
      <w:rPr>
        <w:b/>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57400" cy="576580"/>
          <wp:effectExtent l="0" t="0" r="0" b="7620"/>
          <wp:wrapSquare wrapText="bothSides"/>
          <wp:docPr id="1" name="Picture 1"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7400" cy="576580"/>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2E3DF8">
      <w:t xml:space="preserve"> </w:t>
    </w:r>
    <w:r w:rsidRPr="002E3DF8">
      <w:rPr>
        <w:b/>
      </w:rPr>
      <w:t>Office of Student Activities</w:t>
    </w:r>
  </w:p>
  <w:p w:rsidR="00FC16C9" w:rsidRDefault="00FC16C9" w:rsidP="002E3DF8">
    <w:pPr>
      <w:pStyle w:val="Footer"/>
      <w:ind w:left="720"/>
      <w:jc w:val="right"/>
    </w:pPr>
    <w:r>
      <w:t>3500 John A. Merritt Boulevard, Nashville, TN 37209</w:t>
    </w:r>
  </w:p>
  <w:p w:rsidR="00FC16C9" w:rsidRDefault="00FC16C9" w:rsidP="002E3DF8">
    <w:pPr>
      <w:pStyle w:val="Footer"/>
      <w:jc w:val="right"/>
      <w:rPr>
        <w:rFonts w:ascii="Wingdings" w:hAnsi="Wingdings" w:hint="eastAsia"/>
      </w:rPr>
    </w:pPr>
    <w:r>
      <w:t xml:space="preserve">Telephone 615.963.5250 </w:t>
    </w:r>
    <w:r>
      <w:rPr>
        <w:rFonts w:ascii="Wingdings" w:hAnsi="Wingdings"/>
      </w:rPr>
      <w:t></w:t>
    </w:r>
    <w:r>
      <w:t xml:space="preserve"> Fax 615-963-2180</w:t>
    </w:r>
  </w:p>
  <w:p w:rsidR="00FC16C9" w:rsidRDefault="000600A6" w:rsidP="002E3DF8">
    <w:pPr>
      <w:pStyle w:val="Footer"/>
      <w:jc w:val="right"/>
    </w:pPr>
    <w:hyperlink r:id="rId2" w:history="1">
      <w:r w:rsidR="00FC16C9" w:rsidRPr="007606FB">
        <w:rPr>
          <w:rStyle w:val="Hyperlink"/>
        </w:rPr>
        <w:t>http://www.tnstate.edu/campus_life/activities.aspx</w:t>
      </w:r>
    </w:hyperlink>
  </w:p>
  <w:p w:rsidR="00FC16C9" w:rsidRDefault="00FC16C9" w:rsidP="002E3DF8">
    <w:pPr>
      <w:pStyle w:val="Footer"/>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4"/>
    <w:multiLevelType w:val="hybridMultilevel"/>
    <w:tmpl w:val="00000004"/>
    <w:lvl w:ilvl="0" w:tplc="FFFFFFFF">
      <w:start w:val="1"/>
      <w:numFmt w:val="decimal"/>
      <w:lvlText w:val="%1."/>
      <w:lvlJc w:val="left"/>
      <w:pPr>
        <w:tabs>
          <w:tab w:val="num" w:pos="560"/>
        </w:tabs>
        <w:ind w:left="920" w:hanging="360"/>
      </w:pPr>
      <w:rPr>
        <w:rFonts w:ascii="Calibri" w:eastAsia="Calibri" w:hAnsi="Calibri" w:cs="Lucida Console"/>
        <w:b w:val="0"/>
        <w:bCs w:val="0"/>
        <w:i w:val="0"/>
        <w:iCs w:val="0"/>
        <w:strike w:val="0"/>
        <w:color w:val="000000"/>
        <w:sz w:val="22"/>
        <w:szCs w:val="22"/>
        <w:u w:val="none"/>
      </w:rPr>
    </w:lvl>
    <w:lvl w:ilvl="1" w:tplc="FFFFFFFF">
      <w:start w:val="1"/>
      <w:numFmt w:val="lowerLetter"/>
      <w:lvlText w:val="%2."/>
      <w:lvlJc w:val="left"/>
      <w:pPr>
        <w:tabs>
          <w:tab w:val="num" w:pos="1280"/>
        </w:tabs>
        <w:ind w:left="1640" w:hanging="360"/>
      </w:pPr>
      <w:rPr>
        <w:rFonts w:ascii="Calibri" w:eastAsia="Calibri" w:hAnsi="Calibri" w:cs="Lucida Console"/>
        <w:b w:val="0"/>
        <w:bCs w:val="0"/>
        <w:i w:val="0"/>
        <w:iCs w:val="0"/>
        <w:strike w:val="0"/>
        <w:color w:val="000000"/>
        <w:sz w:val="22"/>
        <w:szCs w:val="22"/>
        <w:u w:val="none"/>
      </w:rPr>
    </w:lvl>
    <w:lvl w:ilvl="2" w:tplc="FFFFFFFF">
      <w:start w:val="1"/>
      <w:numFmt w:val="lowerRoman"/>
      <w:lvlText w:val="%3."/>
      <w:lvlJc w:val="right"/>
      <w:pPr>
        <w:tabs>
          <w:tab w:val="num" w:pos="2000"/>
        </w:tabs>
        <w:ind w:left="2360" w:hanging="180"/>
      </w:pPr>
      <w:rPr>
        <w:rFonts w:ascii="Calibri" w:eastAsia="Calibri" w:hAnsi="Calibri" w:cs="Lucida Console"/>
        <w:b w:val="0"/>
        <w:bCs w:val="0"/>
        <w:i w:val="0"/>
        <w:iCs w:val="0"/>
        <w:strike w:val="0"/>
        <w:color w:val="000000"/>
        <w:sz w:val="22"/>
        <w:szCs w:val="22"/>
        <w:u w:val="none"/>
      </w:rPr>
    </w:lvl>
    <w:lvl w:ilvl="3" w:tplc="FFFFFFFF">
      <w:start w:val="1"/>
      <w:numFmt w:val="decimal"/>
      <w:lvlText w:val="%4."/>
      <w:lvlJc w:val="left"/>
      <w:pPr>
        <w:tabs>
          <w:tab w:val="num" w:pos="2720"/>
        </w:tabs>
        <w:ind w:left="3080" w:hanging="360"/>
      </w:pPr>
      <w:rPr>
        <w:rFonts w:ascii="Calibri" w:eastAsia="Calibri" w:hAnsi="Calibri" w:cs="Lucida Console"/>
        <w:b w:val="0"/>
        <w:bCs w:val="0"/>
        <w:i w:val="0"/>
        <w:iCs w:val="0"/>
        <w:strike w:val="0"/>
        <w:color w:val="000000"/>
        <w:sz w:val="22"/>
        <w:szCs w:val="22"/>
        <w:u w:val="none"/>
      </w:rPr>
    </w:lvl>
    <w:lvl w:ilvl="4" w:tplc="FFFFFFFF">
      <w:start w:val="1"/>
      <w:numFmt w:val="lowerLetter"/>
      <w:lvlText w:val="%5."/>
      <w:lvlJc w:val="left"/>
      <w:pPr>
        <w:tabs>
          <w:tab w:val="num" w:pos="3440"/>
        </w:tabs>
        <w:ind w:left="3800" w:hanging="360"/>
      </w:pPr>
      <w:rPr>
        <w:rFonts w:ascii="Calibri" w:eastAsia="Calibri" w:hAnsi="Calibri" w:cs="Lucida Console"/>
        <w:b w:val="0"/>
        <w:bCs w:val="0"/>
        <w:i w:val="0"/>
        <w:iCs w:val="0"/>
        <w:strike w:val="0"/>
        <w:color w:val="000000"/>
        <w:sz w:val="22"/>
        <w:szCs w:val="22"/>
        <w:u w:val="none"/>
      </w:rPr>
    </w:lvl>
    <w:lvl w:ilvl="5" w:tplc="FFFFFFFF">
      <w:start w:val="1"/>
      <w:numFmt w:val="lowerRoman"/>
      <w:lvlText w:val="%6."/>
      <w:lvlJc w:val="right"/>
      <w:pPr>
        <w:tabs>
          <w:tab w:val="num" w:pos="4160"/>
        </w:tabs>
        <w:ind w:left="4520" w:hanging="180"/>
      </w:pPr>
      <w:rPr>
        <w:rFonts w:ascii="Calibri" w:eastAsia="Calibri" w:hAnsi="Calibri" w:cs="Lucida Console"/>
        <w:b w:val="0"/>
        <w:bCs w:val="0"/>
        <w:i w:val="0"/>
        <w:iCs w:val="0"/>
        <w:strike w:val="0"/>
        <w:color w:val="000000"/>
        <w:sz w:val="22"/>
        <w:szCs w:val="22"/>
        <w:u w:val="none"/>
      </w:rPr>
    </w:lvl>
    <w:lvl w:ilvl="6" w:tplc="FFFFFFFF">
      <w:start w:val="1"/>
      <w:numFmt w:val="decimal"/>
      <w:lvlText w:val="%7."/>
      <w:lvlJc w:val="left"/>
      <w:pPr>
        <w:tabs>
          <w:tab w:val="num" w:pos="4880"/>
        </w:tabs>
        <w:ind w:left="5240" w:hanging="360"/>
      </w:pPr>
      <w:rPr>
        <w:rFonts w:ascii="Calibri" w:eastAsia="Calibri" w:hAnsi="Calibri" w:cs="Lucida Console"/>
        <w:b w:val="0"/>
        <w:bCs w:val="0"/>
        <w:i w:val="0"/>
        <w:iCs w:val="0"/>
        <w:strike w:val="0"/>
        <w:color w:val="000000"/>
        <w:sz w:val="22"/>
        <w:szCs w:val="22"/>
        <w:u w:val="none"/>
      </w:rPr>
    </w:lvl>
    <w:lvl w:ilvl="7" w:tplc="FFFFFFFF">
      <w:start w:val="1"/>
      <w:numFmt w:val="lowerLetter"/>
      <w:lvlText w:val="%8."/>
      <w:lvlJc w:val="left"/>
      <w:pPr>
        <w:tabs>
          <w:tab w:val="num" w:pos="5600"/>
        </w:tabs>
        <w:ind w:left="5960" w:hanging="360"/>
      </w:pPr>
      <w:rPr>
        <w:rFonts w:ascii="Calibri" w:eastAsia="Calibri" w:hAnsi="Calibri" w:cs="Lucida Console"/>
        <w:b w:val="0"/>
        <w:bCs w:val="0"/>
        <w:i w:val="0"/>
        <w:iCs w:val="0"/>
        <w:strike w:val="0"/>
        <w:color w:val="000000"/>
        <w:sz w:val="22"/>
        <w:szCs w:val="22"/>
        <w:u w:val="none"/>
      </w:rPr>
    </w:lvl>
    <w:lvl w:ilvl="8" w:tplc="FFFFFFFF">
      <w:start w:val="1"/>
      <w:numFmt w:val="lowerRoman"/>
      <w:lvlText w:val="%9."/>
      <w:lvlJc w:val="right"/>
      <w:pPr>
        <w:tabs>
          <w:tab w:val="num" w:pos="6320"/>
        </w:tabs>
        <w:ind w:left="6680" w:hanging="180"/>
      </w:pPr>
      <w:rPr>
        <w:rFonts w:ascii="Calibri" w:eastAsia="Calibri" w:hAnsi="Calibri" w:cs="Lucida Console"/>
        <w:b w:val="0"/>
        <w:bCs w:val="0"/>
        <w:i w:val="0"/>
        <w:iCs w:val="0"/>
        <w:strike w:val="0"/>
        <w:color w:val="000000"/>
        <w:sz w:val="22"/>
        <w:szCs w:val="22"/>
        <w:u w:val="none"/>
      </w:rPr>
    </w:lvl>
  </w:abstractNum>
  <w:abstractNum w:abstractNumId="1">
    <w:nsid w:val="00000005"/>
    <w:multiLevelType w:val="hybridMultilevel"/>
    <w:tmpl w:val="00000005"/>
    <w:lvl w:ilvl="0" w:tplc="FFFFFFFF">
      <w:start w:val="1"/>
      <w:numFmt w:val="decimal"/>
      <w:lvlText w:val="%1."/>
      <w:lvlJc w:val="left"/>
      <w:pPr>
        <w:tabs>
          <w:tab w:val="num" w:pos="560"/>
        </w:tabs>
        <w:ind w:left="920" w:hanging="360"/>
      </w:pPr>
      <w:rPr>
        <w:rFonts w:ascii="Calibri" w:eastAsia="Calibri" w:hAnsi="Calibri" w:cs="Lucida Console"/>
        <w:b w:val="0"/>
        <w:bCs w:val="0"/>
        <w:i w:val="0"/>
        <w:iCs w:val="0"/>
        <w:strike w:val="0"/>
        <w:color w:val="000000"/>
        <w:sz w:val="22"/>
        <w:szCs w:val="22"/>
        <w:u w:val="none"/>
      </w:rPr>
    </w:lvl>
    <w:lvl w:ilvl="1" w:tplc="FFFFFFFF">
      <w:start w:val="1"/>
      <w:numFmt w:val="lowerLetter"/>
      <w:lvlText w:val="%2."/>
      <w:lvlJc w:val="left"/>
      <w:pPr>
        <w:tabs>
          <w:tab w:val="num" w:pos="1280"/>
        </w:tabs>
        <w:ind w:left="1640" w:hanging="360"/>
      </w:pPr>
      <w:rPr>
        <w:rFonts w:ascii="Calibri" w:eastAsia="Calibri" w:hAnsi="Calibri" w:cs="Lucida Console"/>
        <w:b w:val="0"/>
        <w:bCs w:val="0"/>
        <w:i w:val="0"/>
        <w:iCs w:val="0"/>
        <w:strike w:val="0"/>
        <w:color w:val="000000"/>
        <w:sz w:val="22"/>
        <w:szCs w:val="22"/>
        <w:u w:val="none"/>
      </w:rPr>
    </w:lvl>
    <w:lvl w:ilvl="2" w:tplc="FFFFFFFF">
      <w:start w:val="1"/>
      <w:numFmt w:val="lowerRoman"/>
      <w:lvlText w:val="%3."/>
      <w:lvlJc w:val="right"/>
      <w:pPr>
        <w:tabs>
          <w:tab w:val="num" w:pos="2000"/>
        </w:tabs>
        <w:ind w:left="2360" w:hanging="180"/>
      </w:pPr>
      <w:rPr>
        <w:rFonts w:ascii="Calibri" w:eastAsia="Calibri" w:hAnsi="Calibri" w:cs="Lucida Console"/>
        <w:b w:val="0"/>
        <w:bCs w:val="0"/>
        <w:i w:val="0"/>
        <w:iCs w:val="0"/>
        <w:strike w:val="0"/>
        <w:color w:val="000000"/>
        <w:sz w:val="22"/>
        <w:szCs w:val="22"/>
        <w:u w:val="none"/>
      </w:rPr>
    </w:lvl>
    <w:lvl w:ilvl="3" w:tplc="FFFFFFFF">
      <w:start w:val="1"/>
      <w:numFmt w:val="decimal"/>
      <w:lvlText w:val="%4."/>
      <w:lvlJc w:val="left"/>
      <w:pPr>
        <w:tabs>
          <w:tab w:val="num" w:pos="2720"/>
        </w:tabs>
        <w:ind w:left="3080" w:hanging="360"/>
      </w:pPr>
      <w:rPr>
        <w:rFonts w:ascii="Calibri" w:eastAsia="Calibri" w:hAnsi="Calibri" w:cs="Lucida Console"/>
        <w:b w:val="0"/>
        <w:bCs w:val="0"/>
        <w:i w:val="0"/>
        <w:iCs w:val="0"/>
        <w:strike w:val="0"/>
        <w:color w:val="000000"/>
        <w:sz w:val="22"/>
        <w:szCs w:val="22"/>
        <w:u w:val="none"/>
      </w:rPr>
    </w:lvl>
    <w:lvl w:ilvl="4" w:tplc="FFFFFFFF">
      <w:start w:val="1"/>
      <w:numFmt w:val="lowerLetter"/>
      <w:lvlText w:val="%5."/>
      <w:lvlJc w:val="left"/>
      <w:pPr>
        <w:tabs>
          <w:tab w:val="num" w:pos="3440"/>
        </w:tabs>
        <w:ind w:left="3800" w:hanging="360"/>
      </w:pPr>
      <w:rPr>
        <w:rFonts w:ascii="Calibri" w:eastAsia="Calibri" w:hAnsi="Calibri" w:cs="Lucida Console"/>
        <w:b w:val="0"/>
        <w:bCs w:val="0"/>
        <w:i w:val="0"/>
        <w:iCs w:val="0"/>
        <w:strike w:val="0"/>
        <w:color w:val="000000"/>
        <w:sz w:val="22"/>
        <w:szCs w:val="22"/>
        <w:u w:val="none"/>
      </w:rPr>
    </w:lvl>
    <w:lvl w:ilvl="5" w:tplc="FFFFFFFF">
      <w:start w:val="1"/>
      <w:numFmt w:val="lowerRoman"/>
      <w:lvlText w:val="%6."/>
      <w:lvlJc w:val="right"/>
      <w:pPr>
        <w:tabs>
          <w:tab w:val="num" w:pos="4160"/>
        </w:tabs>
        <w:ind w:left="4520" w:hanging="180"/>
      </w:pPr>
      <w:rPr>
        <w:rFonts w:ascii="Calibri" w:eastAsia="Calibri" w:hAnsi="Calibri" w:cs="Lucida Console"/>
        <w:b w:val="0"/>
        <w:bCs w:val="0"/>
        <w:i w:val="0"/>
        <w:iCs w:val="0"/>
        <w:strike w:val="0"/>
        <w:color w:val="000000"/>
        <w:sz w:val="22"/>
        <w:szCs w:val="22"/>
        <w:u w:val="none"/>
      </w:rPr>
    </w:lvl>
    <w:lvl w:ilvl="6" w:tplc="FFFFFFFF">
      <w:start w:val="1"/>
      <w:numFmt w:val="decimal"/>
      <w:lvlText w:val="%7."/>
      <w:lvlJc w:val="left"/>
      <w:pPr>
        <w:tabs>
          <w:tab w:val="num" w:pos="4880"/>
        </w:tabs>
        <w:ind w:left="5240" w:hanging="360"/>
      </w:pPr>
      <w:rPr>
        <w:rFonts w:ascii="Calibri" w:eastAsia="Calibri" w:hAnsi="Calibri" w:cs="Lucida Console"/>
        <w:b w:val="0"/>
        <w:bCs w:val="0"/>
        <w:i w:val="0"/>
        <w:iCs w:val="0"/>
        <w:strike w:val="0"/>
        <w:color w:val="000000"/>
        <w:sz w:val="22"/>
        <w:szCs w:val="22"/>
        <w:u w:val="none"/>
      </w:rPr>
    </w:lvl>
    <w:lvl w:ilvl="7" w:tplc="FFFFFFFF">
      <w:start w:val="1"/>
      <w:numFmt w:val="lowerLetter"/>
      <w:lvlText w:val="%8."/>
      <w:lvlJc w:val="left"/>
      <w:pPr>
        <w:tabs>
          <w:tab w:val="num" w:pos="5600"/>
        </w:tabs>
        <w:ind w:left="5960" w:hanging="360"/>
      </w:pPr>
      <w:rPr>
        <w:rFonts w:ascii="Calibri" w:eastAsia="Calibri" w:hAnsi="Calibri" w:cs="Lucida Console"/>
        <w:b w:val="0"/>
        <w:bCs w:val="0"/>
        <w:i w:val="0"/>
        <w:iCs w:val="0"/>
        <w:strike w:val="0"/>
        <w:color w:val="000000"/>
        <w:sz w:val="22"/>
        <w:szCs w:val="22"/>
        <w:u w:val="none"/>
      </w:rPr>
    </w:lvl>
    <w:lvl w:ilvl="8" w:tplc="FFFFFFFF">
      <w:start w:val="1"/>
      <w:numFmt w:val="lowerRoman"/>
      <w:lvlText w:val="%9."/>
      <w:lvlJc w:val="right"/>
      <w:pPr>
        <w:tabs>
          <w:tab w:val="num" w:pos="6320"/>
        </w:tabs>
        <w:ind w:left="6680" w:hanging="180"/>
      </w:pPr>
      <w:rPr>
        <w:rFonts w:ascii="Calibri" w:eastAsia="Calibri" w:hAnsi="Calibri" w:cs="Lucida Console"/>
        <w:b w:val="0"/>
        <w:bCs w:val="0"/>
        <w:i w:val="0"/>
        <w:iCs w:val="0"/>
        <w:strike w:val="0"/>
        <w:color w:val="000000"/>
        <w:sz w:val="22"/>
        <w:szCs w:val="22"/>
        <w:u w:val="none"/>
      </w:rPr>
    </w:lvl>
  </w:abstractNum>
  <w:abstractNum w:abstractNumId="2">
    <w:nsid w:val="0000000F"/>
    <w:multiLevelType w:val="hybridMultilevel"/>
    <w:tmpl w:val="0000000F"/>
    <w:lvl w:ilvl="0" w:tplc="FFFFFFFF">
      <w:start w:val="1"/>
      <w:numFmt w:val="bullet"/>
      <w:lvlText w:val="●"/>
      <w:lvlJc w:val="left"/>
      <w:pPr>
        <w:tabs>
          <w:tab w:val="num" w:pos="720"/>
        </w:tabs>
        <w:ind w:left="1440" w:hanging="360"/>
      </w:pPr>
      <w:rPr>
        <w:rFonts w:ascii="Calibri" w:eastAsia="Calibri" w:hAnsi="Calibri" w:cs="Lucida Console"/>
        <w:b w:val="0"/>
        <w:bCs w:val="0"/>
        <w:i w:val="0"/>
        <w:iCs w:val="0"/>
        <w:strike w:val="0"/>
        <w:color w:val="000000"/>
        <w:sz w:val="20"/>
        <w:szCs w:val="20"/>
        <w:u w:val="none"/>
      </w:rPr>
    </w:lvl>
    <w:lvl w:ilvl="1" w:tplc="FFFFFFFF">
      <w:start w:val="1"/>
      <w:numFmt w:val="bullet"/>
      <w:lvlText w:val="○"/>
      <w:lvlJc w:val="left"/>
      <w:pPr>
        <w:tabs>
          <w:tab w:val="num" w:pos="720"/>
        </w:tabs>
        <w:ind w:left="2160" w:hanging="360"/>
      </w:pPr>
      <w:rPr>
        <w:rFonts w:ascii="Calibri" w:eastAsia="Calibri" w:hAnsi="Calibri" w:cs="Lucida Console"/>
        <w:b w:val="0"/>
        <w:bCs w:val="0"/>
        <w:i w:val="0"/>
        <w:iCs w:val="0"/>
        <w:strike w:val="0"/>
        <w:color w:val="000000"/>
        <w:sz w:val="20"/>
        <w:szCs w:val="20"/>
        <w:u w:val="none"/>
      </w:rPr>
    </w:lvl>
    <w:lvl w:ilvl="2" w:tplc="FFFFFFFF">
      <w:start w:val="1"/>
      <w:numFmt w:val="bullet"/>
      <w:lvlText w:val="■"/>
      <w:lvlJc w:val="right"/>
      <w:pPr>
        <w:tabs>
          <w:tab w:val="num" w:pos="720"/>
        </w:tabs>
        <w:ind w:left="2880" w:hanging="180"/>
      </w:pPr>
      <w:rPr>
        <w:rFonts w:ascii="Calibri" w:eastAsia="Calibri" w:hAnsi="Calibri" w:cs="Lucida Console"/>
        <w:b w:val="0"/>
        <w:bCs w:val="0"/>
        <w:i w:val="0"/>
        <w:iCs w:val="0"/>
        <w:strike w:val="0"/>
        <w:color w:val="000000"/>
        <w:sz w:val="20"/>
        <w:szCs w:val="20"/>
        <w:u w:val="none"/>
      </w:rPr>
    </w:lvl>
    <w:lvl w:ilvl="3" w:tplc="FFFFFFFF">
      <w:start w:val="1"/>
      <w:numFmt w:val="bullet"/>
      <w:lvlText w:val="●"/>
      <w:lvlJc w:val="left"/>
      <w:pPr>
        <w:tabs>
          <w:tab w:val="num" w:pos="720"/>
        </w:tabs>
        <w:ind w:left="3600" w:hanging="360"/>
      </w:pPr>
      <w:rPr>
        <w:rFonts w:ascii="Calibri" w:eastAsia="Calibri" w:hAnsi="Calibri" w:cs="Lucida Console"/>
        <w:b w:val="0"/>
        <w:bCs w:val="0"/>
        <w:i w:val="0"/>
        <w:iCs w:val="0"/>
        <w:strike w:val="0"/>
        <w:color w:val="000000"/>
        <w:sz w:val="20"/>
        <w:szCs w:val="20"/>
        <w:u w:val="none"/>
      </w:rPr>
    </w:lvl>
    <w:lvl w:ilvl="4" w:tplc="FFFFFFFF">
      <w:start w:val="1"/>
      <w:numFmt w:val="bullet"/>
      <w:lvlText w:val="○"/>
      <w:lvlJc w:val="left"/>
      <w:pPr>
        <w:tabs>
          <w:tab w:val="num" w:pos="720"/>
        </w:tabs>
        <w:ind w:left="4320" w:hanging="360"/>
      </w:pPr>
      <w:rPr>
        <w:rFonts w:ascii="Calibri" w:eastAsia="Calibri" w:hAnsi="Calibri" w:cs="Lucida Console"/>
        <w:b w:val="0"/>
        <w:bCs w:val="0"/>
        <w:i w:val="0"/>
        <w:iCs w:val="0"/>
        <w:strike w:val="0"/>
        <w:color w:val="000000"/>
        <w:sz w:val="20"/>
        <w:szCs w:val="20"/>
        <w:u w:val="none"/>
      </w:rPr>
    </w:lvl>
    <w:lvl w:ilvl="5" w:tplc="FFFFFFFF">
      <w:start w:val="1"/>
      <w:numFmt w:val="bullet"/>
      <w:lvlText w:val="■"/>
      <w:lvlJc w:val="right"/>
      <w:pPr>
        <w:tabs>
          <w:tab w:val="num" w:pos="720"/>
        </w:tabs>
        <w:ind w:left="5040" w:hanging="180"/>
      </w:pPr>
      <w:rPr>
        <w:rFonts w:ascii="Calibri" w:eastAsia="Calibri" w:hAnsi="Calibri" w:cs="Lucida Console"/>
        <w:b w:val="0"/>
        <w:bCs w:val="0"/>
        <w:i w:val="0"/>
        <w:iCs w:val="0"/>
        <w:strike w:val="0"/>
        <w:color w:val="000000"/>
        <w:sz w:val="20"/>
        <w:szCs w:val="20"/>
        <w:u w:val="none"/>
      </w:rPr>
    </w:lvl>
    <w:lvl w:ilvl="6" w:tplc="FFFFFFFF">
      <w:start w:val="1"/>
      <w:numFmt w:val="bullet"/>
      <w:lvlText w:val="●"/>
      <w:lvlJc w:val="left"/>
      <w:pPr>
        <w:tabs>
          <w:tab w:val="num" w:pos="720"/>
        </w:tabs>
        <w:ind w:left="5760" w:hanging="360"/>
      </w:pPr>
      <w:rPr>
        <w:rFonts w:ascii="Calibri" w:eastAsia="Calibri" w:hAnsi="Calibri" w:cs="Lucida Console"/>
        <w:b w:val="0"/>
        <w:bCs w:val="0"/>
        <w:i w:val="0"/>
        <w:iCs w:val="0"/>
        <w:strike w:val="0"/>
        <w:color w:val="000000"/>
        <w:sz w:val="20"/>
        <w:szCs w:val="20"/>
        <w:u w:val="none"/>
      </w:rPr>
    </w:lvl>
    <w:lvl w:ilvl="7" w:tplc="FFFFFFFF">
      <w:start w:val="1"/>
      <w:numFmt w:val="bullet"/>
      <w:lvlText w:val="○"/>
      <w:lvlJc w:val="left"/>
      <w:pPr>
        <w:tabs>
          <w:tab w:val="num" w:pos="720"/>
        </w:tabs>
        <w:ind w:left="6480" w:hanging="360"/>
      </w:pPr>
      <w:rPr>
        <w:rFonts w:ascii="Calibri" w:eastAsia="Calibri" w:hAnsi="Calibri" w:cs="Lucida Console"/>
        <w:b w:val="0"/>
        <w:bCs w:val="0"/>
        <w:i w:val="0"/>
        <w:iCs w:val="0"/>
        <w:strike w:val="0"/>
        <w:color w:val="000000"/>
        <w:sz w:val="20"/>
        <w:szCs w:val="20"/>
        <w:u w:val="none"/>
      </w:rPr>
    </w:lvl>
    <w:lvl w:ilvl="8" w:tplc="FFFFFFFF">
      <w:start w:val="1"/>
      <w:numFmt w:val="bullet"/>
      <w:lvlText w:val="■"/>
      <w:lvlJc w:val="right"/>
      <w:pPr>
        <w:tabs>
          <w:tab w:val="num" w:pos="720"/>
        </w:tabs>
        <w:ind w:left="7200" w:hanging="180"/>
      </w:pPr>
      <w:rPr>
        <w:rFonts w:ascii="Calibri" w:eastAsia="Calibri" w:hAnsi="Calibri" w:cs="Lucida Console"/>
        <w:b w:val="0"/>
        <w:bCs w:val="0"/>
        <w:i w:val="0"/>
        <w:iCs w:val="0"/>
        <w:strike w:val="0"/>
        <w:color w:val="000000"/>
        <w:sz w:val="20"/>
        <w:szCs w:val="20"/>
        <w:u w:val="none"/>
      </w:rPr>
    </w:lvl>
  </w:abstractNum>
  <w:abstractNum w:abstractNumId="3">
    <w:nsid w:val="015675D3"/>
    <w:multiLevelType w:val="hybridMultilevel"/>
    <w:tmpl w:val="E5C67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A19F8"/>
    <w:multiLevelType w:val="hybridMultilevel"/>
    <w:tmpl w:val="CA76CB84"/>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56A1"/>
    <w:multiLevelType w:val="multilevel"/>
    <w:tmpl w:val="78B088B8"/>
    <w:lvl w:ilvl="0">
      <w:start w:val="1"/>
      <w:numFmt w:val="upperLetter"/>
      <w:lvlText w:val="%1."/>
      <w:lvlJc w:val="left"/>
      <w:pPr>
        <w:ind w:left="630" w:hanging="360"/>
      </w:pPr>
      <w:rPr>
        <w:rFonts w:ascii="Calibri" w:eastAsia="Calibri" w:hAnsi="Calibri" w:cs="Lucida Console"/>
        <w:b w:val="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6">
    <w:nsid w:val="09727B7F"/>
    <w:multiLevelType w:val="hybridMultilevel"/>
    <w:tmpl w:val="9132CE70"/>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012D03"/>
    <w:multiLevelType w:val="hybridMultilevel"/>
    <w:tmpl w:val="6C8CA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D66BB"/>
    <w:multiLevelType w:val="hybridMultilevel"/>
    <w:tmpl w:val="D72E8DFA"/>
    <w:lvl w:ilvl="0" w:tplc="C1BA6E20">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1D8E0DCB"/>
    <w:multiLevelType w:val="hybridMultilevel"/>
    <w:tmpl w:val="512435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228C9"/>
    <w:multiLevelType w:val="hybridMultilevel"/>
    <w:tmpl w:val="78B088B8"/>
    <w:lvl w:ilvl="0" w:tplc="4FACEBE8">
      <w:start w:val="1"/>
      <w:numFmt w:val="upperLetter"/>
      <w:lvlText w:val="%1."/>
      <w:lvlJc w:val="left"/>
      <w:pPr>
        <w:ind w:left="630" w:hanging="360"/>
      </w:pPr>
      <w:rPr>
        <w:rFonts w:ascii="Calibri" w:eastAsia="Calibri" w:hAnsi="Calibri" w:cs="Lucida Console"/>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9184252"/>
    <w:multiLevelType w:val="hybridMultilevel"/>
    <w:tmpl w:val="6374CA7C"/>
    <w:lvl w:ilvl="0" w:tplc="BDCE1CF6">
      <w:start w:val="1"/>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9D23B4"/>
    <w:multiLevelType w:val="hybridMultilevel"/>
    <w:tmpl w:val="8BE69292"/>
    <w:lvl w:ilvl="0" w:tplc="04090001">
      <w:start w:val="1"/>
      <w:numFmt w:val="lowerLetter"/>
      <w:lvlText w:val="%1."/>
      <w:lvlJc w:val="left"/>
      <w:pPr>
        <w:ind w:left="1080" w:hanging="360"/>
      </w:pPr>
    </w:lvl>
    <w:lvl w:ilvl="1" w:tplc="78CE18DE">
      <w:start w:val="1"/>
      <w:numFmt w:val="upperLetter"/>
      <w:lvlText w:val="%2."/>
      <w:lvlJc w:val="left"/>
      <w:pPr>
        <w:ind w:left="2420" w:hanging="98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1001C7"/>
    <w:multiLevelType w:val="hybridMultilevel"/>
    <w:tmpl w:val="AD424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7F485B"/>
    <w:multiLevelType w:val="hybridMultilevel"/>
    <w:tmpl w:val="24948E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A66FAA"/>
    <w:multiLevelType w:val="hybridMultilevel"/>
    <w:tmpl w:val="5A12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70BB2"/>
    <w:multiLevelType w:val="hybridMultilevel"/>
    <w:tmpl w:val="24948E96"/>
    <w:lvl w:ilvl="0" w:tplc="04090015">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7D494C"/>
    <w:multiLevelType w:val="hybridMultilevel"/>
    <w:tmpl w:val="4404D444"/>
    <w:lvl w:ilvl="0" w:tplc="C1BA6E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F03FBD"/>
    <w:multiLevelType w:val="hybridMultilevel"/>
    <w:tmpl w:val="E858F8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00148E"/>
    <w:multiLevelType w:val="hybridMultilevel"/>
    <w:tmpl w:val="659EBC5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10"/>
  </w:num>
  <w:num w:numId="4">
    <w:abstractNumId w:val="6"/>
  </w:num>
  <w:num w:numId="5">
    <w:abstractNumId w:val="12"/>
  </w:num>
  <w:num w:numId="6">
    <w:abstractNumId w:val="2"/>
  </w:num>
  <w:num w:numId="7">
    <w:abstractNumId w:val="7"/>
  </w:num>
  <w:num w:numId="8">
    <w:abstractNumId w:val="13"/>
  </w:num>
  <w:num w:numId="9">
    <w:abstractNumId w:val="19"/>
  </w:num>
  <w:num w:numId="10">
    <w:abstractNumId w:val="18"/>
  </w:num>
  <w:num w:numId="11">
    <w:abstractNumId w:val="1"/>
  </w:num>
  <w:num w:numId="12">
    <w:abstractNumId w:val="11"/>
  </w:num>
  <w:num w:numId="13">
    <w:abstractNumId w:val="0"/>
  </w:num>
  <w:num w:numId="14">
    <w:abstractNumId w:val="9"/>
  </w:num>
  <w:num w:numId="15">
    <w:abstractNumId w:val="14"/>
  </w:num>
  <w:num w:numId="16">
    <w:abstractNumId w:val="16"/>
  </w:num>
  <w:num w:numId="17">
    <w:abstractNumId w:val="5"/>
  </w:num>
  <w:num w:numId="18">
    <w:abstractNumId w:val="17"/>
  </w:num>
  <w:num w:numId="19">
    <w:abstractNumId w:val="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hdrShapeDefaults>
    <o:shapedefaults v:ext="edit" spidmax="2050"/>
  </w:hdrShapeDefaults>
  <w:footnotePr>
    <w:footnote w:id="0"/>
    <w:footnote w:id="1"/>
  </w:footnotePr>
  <w:endnotePr>
    <w:endnote w:id="0"/>
    <w:endnote w:id="1"/>
  </w:endnotePr>
  <w:compat>
    <w:useFELayout/>
  </w:compat>
  <w:rsids>
    <w:rsidRoot w:val="00A81EAF"/>
    <w:rsid w:val="000600A6"/>
    <w:rsid w:val="000E0691"/>
    <w:rsid w:val="00181EFB"/>
    <w:rsid w:val="0018613F"/>
    <w:rsid w:val="001B2426"/>
    <w:rsid w:val="00285DCA"/>
    <w:rsid w:val="002E3DF8"/>
    <w:rsid w:val="002F4639"/>
    <w:rsid w:val="004D798D"/>
    <w:rsid w:val="0055081D"/>
    <w:rsid w:val="006B1F99"/>
    <w:rsid w:val="006E7CB2"/>
    <w:rsid w:val="00723614"/>
    <w:rsid w:val="007870C8"/>
    <w:rsid w:val="008737E3"/>
    <w:rsid w:val="00A81EAF"/>
    <w:rsid w:val="00B75628"/>
    <w:rsid w:val="00BC0292"/>
    <w:rsid w:val="00BF2660"/>
    <w:rsid w:val="00C57384"/>
    <w:rsid w:val="00C831E5"/>
    <w:rsid w:val="00CC6A67"/>
    <w:rsid w:val="00DB236C"/>
    <w:rsid w:val="00F71598"/>
    <w:rsid w:val="00FC16C9"/>
    <w:rsid w:val="00FE10C1"/>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 w:type="paragraph" w:customStyle="1" w:styleId="ColorfulList-Accent11">
    <w:name w:val="Colorful List - Accent 11"/>
    <w:basedOn w:val="Normal"/>
    <w:uiPriority w:val="34"/>
    <w:qFormat/>
    <w:rsid w:val="002F4639"/>
    <w:pPr>
      <w:spacing w:after="200" w:line="276" w:lineRule="auto"/>
      <w:ind w:left="720"/>
      <w:contextualSpacing/>
    </w:pPr>
    <w:rPr>
      <w:rFonts w:ascii="Calibri" w:eastAsia="Calibri" w:hAnsi="Calibri"/>
      <w:sz w:val="22"/>
      <w:szCs w:val="22"/>
    </w:rPr>
  </w:style>
  <w:style w:type="paragraph" w:customStyle="1" w:styleId="Default">
    <w:name w:val="Default"/>
    <w:rsid w:val="00C831E5"/>
    <w:pPr>
      <w:autoSpaceDE w:val="0"/>
      <w:autoSpaceDN w:val="0"/>
      <w:adjustRightInd w:val="0"/>
    </w:pPr>
    <w:rPr>
      <w:rFonts w:eastAsia="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 w:type="paragraph" w:customStyle="1" w:styleId="ColorfulList-Accent11">
    <w:name w:val="Colorful List - Accent 11"/>
    <w:basedOn w:val="Normal"/>
    <w:uiPriority w:val="34"/>
    <w:qFormat/>
    <w:rsid w:val="002F4639"/>
    <w:pPr>
      <w:spacing w:after="200" w:line="276" w:lineRule="auto"/>
      <w:ind w:left="720"/>
      <w:contextualSpacing/>
    </w:pPr>
    <w:rPr>
      <w:rFonts w:ascii="Calibri" w:eastAsia="Calibri" w:hAnsi="Calibri"/>
      <w:sz w:val="22"/>
      <w:szCs w:val="22"/>
    </w:rPr>
  </w:style>
  <w:style w:type="paragraph" w:customStyle="1" w:styleId="Default">
    <w:name w:val="Default"/>
    <w:rsid w:val="00C831E5"/>
    <w:pPr>
      <w:autoSpaceDE w:val="0"/>
      <w:autoSpaceDN w:val="0"/>
      <w:adjustRightInd w:val="0"/>
    </w:pPr>
    <w:rPr>
      <w:rFonts w:eastAsia="Cambria"/>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tnstate.edu/campus_life/activities.asp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35CE-A160-0B4D-97F6-E17B0B0E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1049</Words>
  <Characters>5984</Characters>
  <Application>Microsoft Word 12.1.0</Application>
  <DocSecurity>0</DocSecurity>
  <Lines>49</Lines>
  <Paragraphs>11</Paragraphs>
  <ScaleCrop>false</ScaleCrop>
  <Company/>
  <LinksUpToDate>false</LinksUpToDate>
  <CharactersWithSpaces>7348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Ashley Floyd</cp:lastModifiedBy>
  <cp:revision>2</cp:revision>
  <dcterms:created xsi:type="dcterms:W3CDTF">2012-08-13T13:34:00Z</dcterms:created>
  <dcterms:modified xsi:type="dcterms:W3CDTF">2012-08-13T13:34:00Z</dcterms:modified>
</cp:coreProperties>
</file>