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1B2426" w:rsidRDefault="00A81EAF" w:rsidP="00A81EAF">
      <w:pPr>
        <w:jc w:val="center"/>
        <w:rPr>
          <w:b/>
        </w:rPr>
      </w:pPr>
    </w:p>
    <w:p w:rsidR="002F4639" w:rsidRPr="00C831E5" w:rsidRDefault="00C831E5" w:rsidP="002F4639">
      <w:pPr>
        <w:jc w:val="center"/>
        <w:rPr>
          <w:b/>
          <w:sz w:val="44"/>
          <w:szCs w:val="44"/>
        </w:rPr>
      </w:pPr>
      <w:r w:rsidRPr="00C831E5">
        <w:rPr>
          <w:b/>
          <w:sz w:val="44"/>
          <w:szCs w:val="44"/>
        </w:rPr>
        <w:t>National Pan-Hellenic Council Greek Showcase</w:t>
      </w:r>
      <w:r w:rsidR="0055081D" w:rsidRPr="00C831E5">
        <w:rPr>
          <w:b/>
          <w:sz w:val="44"/>
          <w:szCs w:val="44"/>
        </w:rPr>
        <w:t xml:space="preserve"> Policy</w:t>
      </w:r>
    </w:p>
    <w:p w:rsidR="006B1F99" w:rsidRPr="00C831E5" w:rsidRDefault="006B1F99" w:rsidP="002F4639">
      <w:pPr>
        <w:jc w:val="center"/>
        <w:rPr>
          <w:b/>
          <w:sz w:val="16"/>
          <w:szCs w:val="16"/>
        </w:rPr>
      </w:pPr>
    </w:p>
    <w:p w:rsidR="00C831E5" w:rsidRPr="00C831E5" w:rsidRDefault="00C831E5" w:rsidP="00C831E5">
      <w:pPr>
        <w:pStyle w:val="Default"/>
        <w:rPr>
          <w:sz w:val="22"/>
          <w:szCs w:val="22"/>
        </w:rPr>
      </w:pPr>
      <w:r w:rsidRPr="00C831E5">
        <w:rPr>
          <w:sz w:val="22"/>
          <w:szCs w:val="22"/>
        </w:rPr>
        <w:t xml:space="preserve">It is understood that National Pan-Hellenic Council Greek Showcases are an integral part of the fraternity and sorority experience. Tennessee State University recognizes that the participation in this tradition can have significant impact on the creation of community and sense of pride within the organizations that traditionally participate. Despite the generally positive nature of this practice, some issues related to hazing, safety, disrespect, and inappropriateness have been associated to these shows and their rehearsal processes. In an effort to provide guidance that will enable the successful and positive continuation of the tradition of showcases, the Office of Student Activities has established the following guidelines to ensure the success of planning and executing a showcase at Tennessee State University. All organizations must adhere to the following showcase guidelines when presenting new members: </w:t>
      </w:r>
    </w:p>
    <w:p w:rsidR="00C831E5" w:rsidRPr="00C831E5" w:rsidRDefault="00C831E5" w:rsidP="00C831E5">
      <w:pPr>
        <w:pStyle w:val="Default"/>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The Office of Student Activities must approve all showcases at least twenty-one (21) business days prior to the performance. Organizations requesting to have a showcase must sign the NPHC Greek Showcase Contract before practices begin.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831E5">
        <w:rPr>
          <w:sz w:val="22"/>
          <w:szCs w:val="22"/>
        </w:rPr>
        <w:t xml:space="preserve">All organizations hosting showcases must submit written approval from a national or regional representative allowing the activity to take place.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The facility spaces for the showcases, practices, and preview show must be properly requisitioned and approved by the Office of Student Activities by required requisitioning deadlines.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Showcases can only be scheduled for a Saturday from 1-3pm with doors opening at 1p.m. and closing at 3p.m. Presentations must begin no later than 1:30p.m. and last no longer than 45 minutes.  Everything must be on time and penalties can occur if the time is not adhered to. The presenting organization will be responsible for ensuring the site used is left in its original state after use.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Pr>
          <w:sz w:val="22"/>
          <w:szCs w:val="22"/>
        </w:rPr>
        <w:t xml:space="preserve">   </w:t>
      </w:r>
      <w:r w:rsidRPr="00C831E5">
        <w:rPr>
          <w:sz w:val="22"/>
          <w:szCs w:val="22"/>
        </w:rPr>
        <w:t xml:space="preserve">Showcases are not to be scheduled on the same night/time of a previously planned event of another chapter of the National Pan-Hellenic Council.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The advisors of the organization must be present during the entire showcase from the time the doors open to the time the doors close.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The hosting organization is responsible for securing TSU police for the event and providing a writing approval by the TSU Police to the Office of Student Activities at least 21 days in advance.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No showcases can occur during midterms, finals, winter break, spring break, Homecoming Week, and Student Election Commission Week.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w:t>
      </w:r>
    </w:p>
    <w:p w:rsid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831E5">
        <w:rPr>
          <w:sz w:val="22"/>
          <w:szCs w:val="22"/>
        </w:rPr>
        <w:t xml:space="preserve">   A staff member of the Office of Student Activities and an Advisor of the National Pan-Hellenic Council MUST be in attendance at all showcases. It is the responsibility of the presenting organization to coordinate with the Office of Student Activities to schedule a staff member to be present. Requests less than two weeks before the event will not be honored. </w:t>
      </w:r>
    </w:p>
    <w:p w:rsidR="00C831E5" w:rsidRPr="00C831E5" w:rsidRDefault="00C831E5" w:rsidP="00C83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bookmarkStart w:id="0" w:name="_GoBack"/>
      <w:bookmarkEnd w:id="0"/>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The Office of the Student Activities and the NPHC Advisors must preview all showcases at least three (3) days before the scheduled showcase. The organization is responsible for scheduling the Preview with the Office of Student Activities at least ten (10) days before the date of the Showcase to ensure the availability of the Student Activities staff and NPHC Advisor(s). The Preview Show must be exactly as the actual showcase is intended. Any deviations during the showcase will be violations to this policy and will result in penalties.</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Everything regarding the format of the show must be disclosed to the Office of Student Activities. There cannot be any surprises. The organization will be held accountable for any action that breaks the rules of the student code of conduct or the policies regarding student organizations and showcases. Violations can result in immediate cease and desist (no meetings, events, or wearing of paraphernalia), probation (limitations on activities), lost of the organization’s Greek Week, or any other penalties deemed appropriate by the Office of Student Conduct.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w:t>
      </w: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Pr>
          <w:sz w:val="22"/>
          <w:szCs w:val="22"/>
        </w:rPr>
        <w:t xml:space="preserve">   </w:t>
      </w:r>
      <w:r w:rsidRPr="00C831E5">
        <w:rPr>
          <w:sz w:val="22"/>
          <w:szCs w:val="22"/>
        </w:rPr>
        <w:t xml:space="preserve">No alcoholic beverages are permitted at the event.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Participation in the show must be truly optional for neophytes/new members. Any pressure or coercion to participate in the show will not be permitted. Participants must sign the Showcase Participants Agreement Form to indicate that they have not been pressured or coerced.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No hazing, as defined by the group’s national organization, Tennessee State University and the State of Tennessee, may occur prior to, during, or after the showcase.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Rehearsals/practices for the show must be held at reasonable hours and be positive in nature. Forced calisthenics and physical demands outside of what is considered reasonable for practicing of the showcase is not permitted. </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No physical abuse will be tolerated. This includes, but is not limited to: slapping, kicking, spitting, punching, pushing, poking, caning, etc. Canes, staffs, sticks, etc. may be used as a part of the performance, but may not be used as a weapon to harm another individual. No paddles or bricks are permitted anywhere at or during the show.</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Profane/explicit language in chants, music or spoken words is prohibited. The new member or other “showcase” participants are to wear no revealing attire.</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w:t>
      </w: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Disruptions by other attending organizations (whether collegiate, graduate, or out-of-town fraternity/sorority visitors) will not be tolerated. This includes, but is not limited to: walking through the presenters’ show, talking over the presenting organization, being insubordinate to authority, fighting, etc. Groups or individuals who cause a disruption will be asked to leave the performance and may face judicial or conduct charges. The organization is responsible for maintaining order at the showcase. In the event of a fight during the presentation, then those fighting will be disciplined immediately. If a member of the presenting organization is involved, the presentation show will be stopped immediately.</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p>
    <w:p w:rsidR="00C831E5"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All shows must respect new members, members, alumni, other organizations, and the University. Under no circumstances will degrading or negative sentiments towards another organization, chapter or another chapter’s members be permitted. This type of behavior includes mocking signature steps or calls in order to cause laughter or poke fun. Under no circumstances will profanity, racism, sexual innuendos, obscene gestures or hate towards another culture, gender, or identity be permitted. Should any of these violations occur, the organization will be subject to discipline by the Office of Student Activities.</w:t>
      </w:r>
    </w:p>
    <w:p w:rsidR="00C831E5" w:rsidRPr="00C831E5" w:rsidRDefault="00C831E5" w:rsidP="00C831E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sidRPr="00C831E5">
        <w:rPr>
          <w:sz w:val="22"/>
          <w:szCs w:val="22"/>
        </w:rPr>
        <w:t xml:space="preserve">  </w:t>
      </w:r>
    </w:p>
    <w:p w:rsidR="004D798D" w:rsidRPr="00C831E5" w:rsidRDefault="00C831E5" w:rsidP="00C831E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szCs w:val="22"/>
        </w:rPr>
      </w:pPr>
      <w:r>
        <w:rPr>
          <w:sz w:val="22"/>
          <w:szCs w:val="22"/>
        </w:rPr>
        <w:t xml:space="preserve">   </w:t>
      </w:r>
      <w:r w:rsidRPr="00C831E5">
        <w:rPr>
          <w:sz w:val="22"/>
          <w:szCs w:val="22"/>
        </w:rPr>
        <w:t>Showcases are only open to TSU students with TSU ID and family and friends that are listed on NPHC Greek Showcase Guest List Form. The guest list cannot have more than 325 guests and must be submitted at least 48 hours before the day of the showcase. No exceptions will be made. The Office of Student Activities will provide wristbands to the advisors of the organization for the individuals listed on the Guest List Form. The advisors are responsible for getting the names of the guests from the participants of the showcase and for distributing the wristbands. The presenting organization will be held responsible for all guests attending their show.</w:t>
      </w:r>
    </w:p>
    <w:sectPr w:rsidR="004D798D" w:rsidRPr="00C831E5" w:rsidSect="002E3DF8">
      <w:headerReference w:type="default" r:id="rId8"/>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C16C9" w:rsidRDefault="00FC16C9" w:rsidP="00A81EAF">
      <w:r>
        <w:separator/>
      </w:r>
    </w:p>
  </w:endnote>
  <w:endnote w:type="continuationSeparator" w:id="1">
    <w:p w:rsidR="00FC16C9" w:rsidRDefault="00FC16C9"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C16C9" w:rsidRDefault="00FC16C9" w:rsidP="00A81EAF">
      <w:r>
        <w:separator/>
      </w:r>
    </w:p>
  </w:footnote>
  <w:footnote w:type="continuationSeparator" w:id="1">
    <w:p w:rsidR="00FC16C9" w:rsidRDefault="00FC16C9"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FC16C9" w:rsidRDefault="000600A6"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A19F8"/>
    <w:multiLevelType w:val="hybridMultilevel"/>
    <w:tmpl w:val="CA76CB84"/>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856A1"/>
    <w:multiLevelType w:val="multilevel"/>
    <w:tmpl w:val="78B088B8"/>
    <w:lvl w:ilvl="0">
      <w:start w:val="1"/>
      <w:numFmt w:val="upperLetter"/>
      <w:lvlText w:val="%1."/>
      <w:lvlJc w:val="left"/>
      <w:pPr>
        <w:ind w:left="630" w:hanging="360"/>
      </w:pPr>
      <w:rPr>
        <w:rFonts w:ascii="Calibri" w:eastAsia="Calibri" w:hAnsi="Calibri" w:cs="Lucida Console"/>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D66BB"/>
    <w:multiLevelType w:val="hybridMultilevel"/>
    <w:tmpl w:val="D72E8DFA"/>
    <w:lvl w:ilvl="0" w:tplc="C1BA6E20">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7D494C"/>
    <w:multiLevelType w:val="hybridMultilevel"/>
    <w:tmpl w:val="4404D444"/>
    <w:lvl w:ilvl="0" w:tplc="C1BA6E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0"/>
  </w:num>
  <w:num w:numId="4">
    <w:abstractNumId w:val="6"/>
  </w:num>
  <w:num w:numId="5">
    <w:abstractNumId w:val="12"/>
  </w:num>
  <w:num w:numId="6">
    <w:abstractNumId w:val="2"/>
  </w:num>
  <w:num w:numId="7">
    <w:abstractNumId w:val="7"/>
  </w:num>
  <w:num w:numId="8">
    <w:abstractNumId w:val="13"/>
  </w:num>
  <w:num w:numId="9">
    <w:abstractNumId w:val="19"/>
  </w:num>
  <w:num w:numId="10">
    <w:abstractNumId w:val="18"/>
  </w:num>
  <w:num w:numId="11">
    <w:abstractNumId w:val="1"/>
  </w:num>
  <w:num w:numId="12">
    <w:abstractNumId w:val="11"/>
  </w:num>
  <w:num w:numId="13">
    <w:abstractNumId w:val="0"/>
  </w:num>
  <w:num w:numId="14">
    <w:abstractNumId w:val="9"/>
  </w:num>
  <w:num w:numId="15">
    <w:abstractNumId w:val="14"/>
  </w:num>
  <w:num w:numId="16">
    <w:abstractNumId w:val="16"/>
  </w:num>
  <w:num w:numId="17">
    <w:abstractNumId w:val="5"/>
  </w:num>
  <w:num w:numId="18">
    <w:abstractNumId w:val="17"/>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600A6"/>
    <w:rsid w:val="000E0691"/>
    <w:rsid w:val="00181EFB"/>
    <w:rsid w:val="0018613F"/>
    <w:rsid w:val="001B2426"/>
    <w:rsid w:val="00285DCA"/>
    <w:rsid w:val="002E3DF8"/>
    <w:rsid w:val="002F4639"/>
    <w:rsid w:val="004D798D"/>
    <w:rsid w:val="0055081D"/>
    <w:rsid w:val="006B1F99"/>
    <w:rsid w:val="006E7CB2"/>
    <w:rsid w:val="00723614"/>
    <w:rsid w:val="007870C8"/>
    <w:rsid w:val="008737E3"/>
    <w:rsid w:val="00A81EAF"/>
    <w:rsid w:val="00B75628"/>
    <w:rsid w:val="00BC0292"/>
    <w:rsid w:val="00BF2660"/>
    <w:rsid w:val="00C57384"/>
    <w:rsid w:val="00C831E5"/>
    <w:rsid w:val="00CC6A67"/>
    <w:rsid w:val="00DB236C"/>
    <w:rsid w:val="00F71598"/>
    <w:rsid w:val="00FC16C9"/>
    <w:rsid w:val="00FE10C1"/>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 w:type="paragraph" w:customStyle="1" w:styleId="Default">
    <w:name w:val="Default"/>
    <w:rsid w:val="00C831E5"/>
    <w:pPr>
      <w:autoSpaceDE w:val="0"/>
      <w:autoSpaceDN w:val="0"/>
      <w:adjustRightInd w:val="0"/>
    </w:pPr>
    <w:rPr>
      <w:rFonts w:eastAsia="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 w:type="paragraph" w:customStyle="1" w:styleId="Default">
    <w:name w:val="Default"/>
    <w:rsid w:val="00C831E5"/>
    <w:pPr>
      <w:autoSpaceDE w:val="0"/>
      <w:autoSpaceDN w:val="0"/>
      <w:adjustRightInd w:val="0"/>
    </w:pPr>
    <w:rPr>
      <w:rFonts w:eastAsia="Cambria"/>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35CE-A160-0B4D-97F6-E17B0B0E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5984</Characters>
  <Application>Microsoft Word 12.1.0</Application>
  <DocSecurity>0</DocSecurity>
  <Lines>49</Lines>
  <Paragraphs>11</Paragraphs>
  <ScaleCrop>false</ScaleCrop>
  <Company/>
  <LinksUpToDate>false</LinksUpToDate>
  <CharactersWithSpaces>7348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2012-08-13T13:34:00Z</dcterms:created>
  <dcterms:modified xsi:type="dcterms:W3CDTF">2012-08-13T13:34:00Z</dcterms:modified>
</cp:coreProperties>
</file>