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2937">
      <w:pPr>
        <w:pStyle w:val="Heading3"/>
        <w:rPr>
          <w:rFonts w:eastAsia="Times New Roman"/>
        </w:rPr>
      </w:pPr>
      <w:r>
        <w:rPr>
          <w:rFonts w:eastAsia="Times New Roman"/>
        </w:rPr>
        <w:t>Payroll</w:t>
      </w:r>
    </w:p>
    <w:p w:rsidR="00000000" w:rsidRDefault="00672937">
      <w:pPr>
        <w:pStyle w:val="Heading3"/>
        <w:rPr>
          <w:rFonts w:eastAsia="Times New Roman"/>
        </w:rPr>
      </w:pPr>
      <w:r>
        <w:rPr>
          <w:rFonts w:eastAsia="Times New Roman"/>
        </w:rPr>
        <w:t>Garnishment Deductions (5.08.07)</w:t>
      </w:r>
    </w:p>
    <w:p w:rsidR="00000000" w:rsidRDefault="006637E7">
      <w:pPr>
        <w:jc w:val="center"/>
        <w:rPr>
          <w:b/>
          <w:bCs/>
        </w:rPr>
      </w:pPr>
      <w:r>
        <w:rPr>
          <w:b/>
          <w:bCs/>
        </w:rPr>
        <w:pict>
          <v:rect id="_x0000_i1025" style="width:696.5pt;height:1.5pt" o:hralign="center" o:hrstd="t" o:hr="t" fillcolor="#aca899" stroked="f"/>
        </w:pict>
      </w:r>
    </w:p>
    <w:p w:rsidR="00000000" w:rsidRDefault="00672937">
      <w:pPr>
        <w:pStyle w:val="NormalWeb"/>
        <w:rPr>
          <w:b/>
          <w:bCs/>
        </w:rPr>
      </w:pPr>
      <w:r>
        <w:rPr>
          <w:b/>
          <w:bCs/>
        </w:rPr>
        <w:t>PURPOSE</w:t>
      </w:r>
    </w:p>
    <w:p w:rsidR="00000000" w:rsidRDefault="00672937">
      <w:pPr>
        <w:pStyle w:val="NormalWeb"/>
      </w:pPr>
      <w:r>
        <w:t>The purpose of this policy is to describe the processing of garnishments by the Payroll Office.</w:t>
      </w:r>
    </w:p>
    <w:p w:rsidR="00000000" w:rsidRDefault="00672937">
      <w:pPr>
        <w:pStyle w:val="NormalWeb"/>
        <w:rPr>
          <w:b/>
          <w:bCs/>
        </w:rPr>
      </w:pPr>
      <w:r>
        <w:rPr>
          <w:b/>
          <w:bCs/>
        </w:rPr>
        <w:t>POLICY</w:t>
      </w:r>
    </w:p>
    <w:p w:rsidR="00000000" w:rsidRDefault="00672937">
      <w:pPr>
        <w:pStyle w:val="NormalWeb"/>
      </w:pPr>
      <w:r>
        <w:t>Garni</w:t>
      </w:r>
      <w:r>
        <w:t>shments will be deducted from employees’ earnings in accordance with federal, state, and local laws. Garnishments will be deducted from each pay check, with longevity checks standing alone as a separate payroll having the identical deduction calculation as</w:t>
      </w:r>
      <w:r>
        <w:t xml:space="preserve"> a regular payroll check.</w:t>
      </w:r>
    </w:p>
    <w:p w:rsidR="00000000" w:rsidRDefault="006637E7">
      <w:pPr>
        <w:jc w:val="center"/>
      </w:pPr>
      <w:r>
        <w:pict>
          <v:rect id="_x0000_i1026" style="width:696.5pt;height:1.5pt" o:hralign="center" o:hrstd="t" o:hr="t" fillcolor="#aca899" stroked="f"/>
        </w:pict>
      </w:r>
    </w:p>
    <w:p w:rsidR="00000000" w:rsidRDefault="00672937">
      <w:pPr>
        <w:pStyle w:val="NormalWeb"/>
        <w:rPr>
          <w:b/>
          <w:bCs/>
        </w:rPr>
      </w:pPr>
      <w:r>
        <w:rPr>
          <w:b/>
          <w:bCs/>
        </w:rPr>
        <w:t>REFERENCES</w:t>
      </w:r>
    </w:p>
    <w:p w:rsidR="00672937" w:rsidRDefault="00672937">
      <w:pPr>
        <w:pStyle w:val="NormalWeb"/>
        <w:rPr>
          <w:u w:val="single"/>
        </w:rPr>
      </w:pPr>
      <w:proofErr w:type="gramStart"/>
      <w:r>
        <w:rPr>
          <w:u w:val="single"/>
        </w:rPr>
        <w:t>Department of Treasury Publication 1494</w:t>
      </w:r>
      <w:r>
        <w:rPr>
          <w:u w:val="single"/>
        </w:rPr>
        <w:br/>
        <w:t>T.C.A. 37-1-107</w:t>
      </w:r>
      <w:r>
        <w:rPr>
          <w:u w:val="single"/>
        </w:rPr>
        <w:br/>
        <w:t>TCA 36-5-501</w:t>
      </w:r>
      <w:r>
        <w:rPr>
          <w:u w:val="single"/>
        </w:rPr>
        <w:br/>
        <w:t>Federal Law CP.L.</w:t>
      </w:r>
      <w:proofErr w:type="gramEnd"/>
      <w:r>
        <w:rPr>
          <w:u w:val="single"/>
        </w:rPr>
        <w:t xml:space="preserve"> 102-164; 20 U.</w:t>
      </w:r>
      <w:r>
        <w:rPr>
          <w:u w:val="single"/>
        </w:rPr>
        <w:t>S.C. 1095a et seq</w:t>
      </w:r>
      <w:proofErr w:type="gramStart"/>
      <w:r>
        <w:rPr>
          <w:u w:val="single"/>
        </w:rPr>
        <w:t>.</w:t>
      </w:r>
      <w:proofErr w:type="gramEnd"/>
      <w:r>
        <w:rPr>
          <w:u w:val="single"/>
        </w:rPr>
        <w:br/>
        <w:t>15 U.S.C. Section 1673(b)</w:t>
      </w:r>
      <w:r>
        <w:rPr>
          <w:u w:val="single"/>
        </w:rPr>
        <w:br/>
        <w:t>5.10.04 Payroll Deductions</w:t>
      </w:r>
    </w:p>
    <w:sectPr w:rsidR="006729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proofState w:spelling="clean" w:grammar="clean"/>
  <w:attachedTemplate r:id="rId1"/>
  <w:defaultTabStop w:val="720"/>
  <w:noPunctuationKerning/>
  <w:characterSpacingControl w:val="doNotCompress"/>
  <w:compat/>
  <w:rsids>
    <w:rsidRoot w:val="006637E7"/>
    <w:rsid w:val="006637E7"/>
    <w:rsid w:val="00672937"/>
    <w:rsid w:val="00BA0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qFormat/>
    <w:pPr>
      <w:spacing w:before="100" w:beforeAutospacing="1" w:after="100" w:afterAutospacing="1"/>
      <w:outlineLvl w:val="2"/>
    </w:pPr>
    <w:rPr>
      <w:rFonts w:eastAsiaTheme="minorEastAsia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Company>TSU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Garnishment Deductions (5.08.07)</dc:title>
  <dc:subject/>
  <dc:creator>Bob Hughes</dc:creator>
  <cp:keywords/>
  <dc:description/>
  <cp:lastModifiedBy>rhughes</cp:lastModifiedBy>
  <cp:revision>2</cp:revision>
  <dcterms:created xsi:type="dcterms:W3CDTF">2011-04-15T22:17:00Z</dcterms:created>
  <dcterms:modified xsi:type="dcterms:W3CDTF">2011-04-15T22:17:00Z</dcterms:modified>
</cp:coreProperties>
</file>