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C7F" w:rsidRPr="000E3C7F" w:rsidRDefault="000E3C7F" w:rsidP="000E3C7F">
      <w:pPr>
        <w:shd w:val="clear" w:color="auto" w:fill="FFFFFF"/>
        <w:spacing w:after="150" w:line="600" w:lineRule="atLeast"/>
        <w:outlineLvl w:val="0"/>
        <w:rPr>
          <w:rFonts w:ascii="inherit" w:eastAsia="Times New Roman" w:hAnsi="inherit" w:cs="Arial"/>
          <w:b/>
          <w:bCs/>
          <w:color w:val="344051"/>
          <w:kern w:val="36"/>
          <w:sz w:val="45"/>
          <w:szCs w:val="45"/>
        </w:rPr>
      </w:pPr>
      <w:r w:rsidRPr="000E3C7F">
        <w:rPr>
          <w:rFonts w:ascii="inherit" w:eastAsia="Times New Roman" w:hAnsi="inherit" w:cs="Arial"/>
          <w:b/>
          <w:bCs/>
          <w:color w:val="344051"/>
          <w:kern w:val="36"/>
          <w:sz w:val="45"/>
          <w:szCs w:val="45"/>
        </w:rPr>
        <w:t>Academic Tenure for Universities: 5:02:03:60</w:t>
      </w:r>
    </w:p>
    <w:p w:rsidR="000E3C7F" w:rsidRPr="000E3C7F" w:rsidRDefault="000E3C7F" w:rsidP="000E3C7F">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0E3C7F">
        <w:rPr>
          <w:rFonts w:ascii="inherit" w:eastAsia="Times New Roman" w:hAnsi="inherit" w:cs="Arial"/>
          <w:b/>
          <w:bCs/>
          <w:color w:val="344051"/>
          <w:sz w:val="29"/>
          <w:szCs w:val="29"/>
        </w:rPr>
        <w:t>Policy Area</w:t>
      </w:r>
    </w:p>
    <w:p w:rsidR="000E3C7F" w:rsidRPr="000E3C7F" w:rsidRDefault="000E3C7F" w:rsidP="000E3C7F">
      <w:pPr>
        <w:shd w:val="clear" w:color="auto" w:fill="FFFFFF"/>
        <w:spacing w:after="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Personnel Policies</w:t>
      </w:r>
    </w:p>
    <w:p w:rsidR="000E3C7F" w:rsidRPr="000E3C7F" w:rsidRDefault="000E3C7F" w:rsidP="000E3C7F">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0E3C7F">
        <w:rPr>
          <w:rFonts w:ascii="inherit" w:eastAsia="Times New Roman" w:hAnsi="inherit" w:cs="Arial"/>
          <w:b/>
          <w:bCs/>
          <w:color w:val="344051"/>
          <w:sz w:val="29"/>
          <w:szCs w:val="29"/>
        </w:rPr>
        <w:t>Applicable Divisions</w:t>
      </w:r>
    </w:p>
    <w:p w:rsidR="000E3C7F" w:rsidRPr="000E3C7F" w:rsidRDefault="000E3C7F" w:rsidP="000E3C7F">
      <w:pPr>
        <w:shd w:val="clear" w:color="auto" w:fill="FFFFFF"/>
        <w:spacing w:after="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Universities</w:t>
      </w:r>
    </w:p>
    <w:p w:rsidR="000E3C7F" w:rsidRPr="000E3C7F" w:rsidRDefault="000E3C7F" w:rsidP="000E3C7F">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0" w:name="purpose"/>
      <w:bookmarkEnd w:id="0"/>
      <w:r w:rsidRPr="000E3C7F">
        <w:rPr>
          <w:rFonts w:ascii="inherit" w:eastAsia="Times New Roman" w:hAnsi="inherit" w:cs="Arial"/>
          <w:b/>
          <w:bCs/>
          <w:color w:val="344051"/>
          <w:sz w:val="29"/>
          <w:szCs w:val="29"/>
        </w:rPr>
        <w:t>Purpose</w:t>
      </w:r>
    </w:p>
    <w:p w:rsidR="000E3C7F" w:rsidRPr="000E3C7F" w:rsidRDefault="000E3C7F" w:rsidP="000E3C7F">
      <w:pPr>
        <w:shd w:val="clear" w:color="auto" w:fill="FFFFFF"/>
        <w:spacing w:after="24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The purpose of this policy is to establish the criteria and process regarding academic tenure at universities governed by 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w:t>
      </w:r>
    </w:p>
    <w:p w:rsidR="000E3C7F" w:rsidRPr="000E3C7F" w:rsidRDefault="000E3C7F" w:rsidP="000E3C7F">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1" w:name="definitions"/>
      <w:bookmarkEnd w:id="1"/>
      <w:r w:rsidRPr="000E3C7F">
        <w:rPr>
          <w:rFonts w:ascii="inherit" w:eastAsia="Times New Roman" w:hAnsi="inherit" w:cs="Arial"/>
          <w:b/>
          <w:bCs/>
          <w:color w:val="344051"/>
          <w:sz w:val="29"/>
          <w:szCs w:val="29"/>
        </w:rPr>
        <w:t>Definitions</w:t>
      </w:r>
    </w:p>
    <w:p w:rsidR="000E3C7F" w:rsidRPr="000E3C7F" w:rsidRDefault="000E3C7F" w:rsidP="000E3C7F">
      <w:pPr>
        <w:shd w:val="clear" w:color="auto" w:fill="FFFFFF"/>
        <w:spacing w:after="24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The following are general definitions of words and terms used in this policy which are not hereinafter specifically defined; however, the words and terms are subject to further qualification and definition in the subsequent sections of this policy.</w:t>
      </w:r>
    </w:p>
    <w:p w:rsidR="000E3C7F" w:rsidRPr="000E3C7F" w:rsidRDefault="000E3C7F" w:rsidP="000E3C7F">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0E3C7F">
        <w:rPr>
          <w:rFonts w:ascii="Arial" w:eastAsia="Times New Roman" w:hAnsi="Arial" w:cs="Arial"/>
          <w:color w:val="344051"/>
          <w:sz w:val="24"/>
          <w:szCs w:val="24"/>
        </w:rPr>
        <w:t>Academic Tenure - a personnel status in an academic department or academic program unit pursuant to which the academic or fiscal year appointments of full-time faculty who have been awarded tenure are continued at an university until the expiration or relinquishment of that status, subject to termination for adequate cause, for financial exigency, or for curricular reasons.</w:t>
      </w:r>
    </w:p>
    <w:p w:rsidR="000E3C7F" w:rsidRPr="000E3C7F" w:rsidRDefault="000E3C7F" w:rsidP="000E3C7F">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0E3C7F">
        <w:rPr>
          <w:rFonts w:ascii="Arial" w:eastAsia="Times New Roman" w:hAnsi="Arial" w:cs="Arial"/>
          <w:color w:val="344051"/>
          <w:sz w:val="24"/>
          <w:szCs w:val="24"/>
        </w:rPr>
        <w:t>Adequate Cause - a basis upon which a faculty member, either with academic tenure or a tenure-track or temporary appointment prior to the end of the specified term of the appointment may be dismissed or terminated. The specific grounds which constitute adequate cause are set forth in Section IV.H., herein.</w:t>
      </w:r>
    </w:p>
    <w:p w:rsidR="000E3C7F" w:rsidRPr="000E3C7F" w:rsidRDefault="000E3C7F" w:rsidP="000E3C7F">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proofErr w:type="gramStart"/>
      <w:r w:rsidRPr="000E3C7F">
        <w:rPr>
          <w:rFonts w:ascii="Arial" w:eastAsia="Times New Roman" w:hAnsi="Arial" w:cs="Arial"/>
          <w:color w:val="344051"/>
          <w:sz w:val="24"/>
          <w:szCs w:val="24"/>
        </w:rPr>
        <w:t xml:space="preserve">Financial Exigency - the formal declaration by 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that one of its universities faces an imminent financial crisis, that there is a current or projected absence of sufficient funds (appropriated or non-appropriated) for the campus as a whole to maintain current programs and activities at a level sufficient to fulfill its educational goals and priorities, and that the budget can only be balanced </w:t>
      </w:r>
      <w:r w:rsidRPr="000E3C7F">
        <w:rPr>
          <w:rFonts w:ascii="Arial" w:eastAsia="Times New Roman" w:hAnsi="Arial" w:cs="Arial"/>
          <w:color w:val="344051"/>
          <w:sz w:val="24"/>
          <w:szCs w:val="24"/>
        </w:rPr>
        <w:lastRenderedPageBreak/>
        <w:t>by extraordinary means which include the termination of existing and continuing academic and non-academic appointments.</w:t>
      </w:r>
      <w:proofErr w:type="gramEnd"/>
    </w:p>
    <w:p w:rsidR="000E3C7F" w:rsidRPr="000E3C7F" w:rsidRDefault="000E3C7F" w:rsidP="000E3C7F">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0E3C7F">
        <w:rPr>
          <w:rFonts w:ascii="Arial" w:eastAsia="Times New Roman" w:hAnsi="Arial" w:cs="Arial"/>
          <w:color w:val="344051"/>
          <w:sz w:val="24"/>
          <w:szCs w:val="24"/>
        </w:rPr>
        <w:t>Faculty Member - a full-time employee who holds academic rank as instructor, senior instructor, master instructor, assistant professor, assistant clinical or research professor, associate professor, associate clinical or research professor, professor, clinical or research professor, or instructor/coordinator.</w:t>
      </w:r>
    </w:p>
    <w:p w:rsidR="000E3C7F" w:rsidRPr="000E3C7F" w:rsidRDefault="000E3C7F" w:rsidP="000E3C7F">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0E3C7F">
        <w:rPr>
          <w:rFonts w:ascii="Arial" w:eastAsia="Times New Roman" w:hAnsi="Arial" w:cs="Arial"/>
          <w:color w:val="344051"/>
          <w:sz w:val="24"/>
          <w:szCs w:val="24"/>
        </w:rPr>
        <w:t>Probationary Employment - period of full-time professional service by a faculty member for whom an appointment letter denotes a tenure-track appointment in which he/she does not have tenure and in which he/she is evaluated by the university for the purpose of determining his/her satisfaction of the criteria for a recommendation for tenure. Probationary employment provides an opportunity for the individual to assess his/her own commitment to the university and for the university to determine whether the individual meets its perception of quality and/or projected need.</w:t>
      </w:r>
    </w:p>
    <w:p w:rsidR="000E3C7F" w:rsidRPr="000E3C7F" w:rsidRDefault="000E3C7F" w:rsidP="000E3C7F">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Faculty Appointments - </w:t>
      </w:r>
      <w:proofErr w:type="gramStart"/>
      <w:r w:rsidRPr="000E3C7F">
        <w:rPr>
          <w:rFonts w:ascii="Arial" w:eastAsia="Times New Roman" w:hAnsi="Arial" w:cs="Arial"/>
          <w:color w:val="344051"/>
          <w:sz w:val="24"/>
          <w:szCs w:val="24"/>
        </w:rPr>
        <w:t>are defined</w:t>
      </w:r>
      <w:proofErr w:type="gramEnd"/>
      <w:r w:rsidRPr="000E3C7F">
        <w:rPr>
          <w:rFonts w:ascii="Arial" w:eastAsia="Times New Roman" w:hAnsi="Arial" w:cs="Arial"/>
          <w:color w:val="344051"/>
          <w:sz w:val="24"/>
          <w:szCs w:val="24"/>
        </w:rPr>
        <w:t xml:space="preserve"> in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Policies 5:02:07:00 and 5:02:07:10.</w:t>
      </w:r>
    </w:p>
    <w:p w:rsidR="000E3C7F" w:rsidRPr="000E3C7F" w:rsidRDefault="000E3C7F" w:rsidP="000E3C7F">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0E3C7F">
        <w:rPr>
          <w:rFonts w:ascii="inherit" w:eastAsia="Times New Roman" w:hAnsi="inherit" w:cs="Arial"/>
          <w:b/>
          <w:bCs/>
          <w:color w:val="344051"/>
          <w:sz w:val="29"/>
          <w:szCs w:val="29"/>
        </w:rPr>
        <w:t>Policy</w:t>
      </w:r>
    </w:p>
    <w:p w:rsidR="000E3C7F" w:rsidRPr="000E3C7F" w:rsidRDefault="000E3C7F" w:rsidP="000E3C7F">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2" w:name="Introduction"/>
      <w:r w:rsidRPr="000E3C7F">
        <w:rPr>
          <w:rFonts w:ascii="Arial" w:eastAsia="Times New Roman" w:hAnsi="Arial" w:cs="Arial"/>
          <w:color w:val="787F8A"/>
          <w:sz w:val="24"/>
          <w:szCs w:val="24"/>
        </w:rPr>
        <w:t>Introduction</w:t>
      </w:r>
      <w:bookmarkEnd w:id="2"/>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The following policy of 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on tenure is applicable to all universities within the system.  These are minimal provisions for universities and should be implemented in a manner appropriate to the individual missions, traditions, and needs of the universities.</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University policies on tenure must cite and specifically acknowledge compliance with </w:t>
      </w:r>
      <w:r w:rsidR="008E45F4">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Policy on Academic Tenure (5:02:03:60).  Likewise, university policies must as a minimum embody and communicate clearly all provisions, definitions, and stipulations of the Board policy.</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The quality of the faculty of any university is maintained primarily through support of a wide variety of professional development.  It is monitored through the </w:t>
      </w:r>
      <w:r w:rsidRPr="000E3C7F">
        <w:rPr>
          <w:rFonts w:ascii="Arial" w:eastAsia="Times New Roman" w:hAnsi="Arial" w:cs="Arial"/>
          <w:color w:val="344051"/>
          <w:sz w:val="24"/>
          <w:szCs w:val="24"/>
        </w:rPr>
        <w:lastRenderedPageBreak/>
        <w:t xml:space="preserve">appraisal, by competent faculty and administrative officers, of each candidate for tenure. Tenure at a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university provides certain full-time faculty with the assurance of continued employment during the academic year until retirement or dismissal for adequate cause, financial exigency, or curricular reasons, as further discussed herein.</w:t>
      </w:r>
    </w:p>
    <w:p w:rsidR="000E3C7F" w:rsidRPr="000E3C7F" w:rsidRDefault="000E3C7F" w:rsidP="000E3C7F">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3" w:name="Consideration-for-Tenure"/>
      <w:r w:rsidRPr="000E3C7F">
        <w:rPr>
          <w:rFonts w:ascii="Arial" w:eastAsia="Times New Roman" w:hAnsi="Arial" w:cs="Arial"/>
          <w:color w:val="787F8A"/>
          <w:sz w:val="24"/>
          <w:szCs w:val="24"/>
        </w:rPr>
        <w:t>Consideration for Tenure</w:t>
      </w:r>
      <w:bookmarkEnd w:id="3"/>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4" w:name="Tenure-Appointments"/>
      <w:r w:rsidRPr="000E3C7F">
        <w:rPr>
          <w:rFonts w:ascii="Arial" w:eastAsia="Times New Roman" w:hAnsi="Arial" w:cs="Arial"/>
          <w:color w:val="787F8A"/>
          <w:sz w:val="24"/>
          <w:szCs w:val="24"/>
        </w:rPr>
        <w:t>Tenure Appointments</w:t>
      </w:r>
      <w:bookmarkEnd w:id="4"/>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awarding of tenure is recognition of the merit of a faculty member and of the assumption that he/she would meet the long-term staffing needs of the department or academic program unit and the university.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Tenure is awarded only to those members of the faculty who have exhibited professional excellence and outstanding abilities sufficient to demonstrate that their future services and performances justify the degree of permanence afforded by academic tenure.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does not award tenure in non-faculty positions.</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Tenure appointments reside in the departments and academic program units, and are assurances of continued employment during the academic year subject to expiration, relinquishment, or terminations of te</w:t>
      </w:r>
      <w:r w:rsidR="004C4D69">
        <w:rPr>
          <w:rFonts w:ascii="Arial" w:eastAsia="Times New Roman" w:hAnsi="Arial" w:cs="Arial"/>
          <w:color w:val="344051"/>
          <w:sz w:val="24"/>
          <w:szCs w:val="24"/>
        </w:rPr>
        <w:t>nure as set out in Sections III</w:t>
      </w:r>
      <w:r w:rsidRPr="000E3C7F">
        <w:rPr>
          <w:rFonts w:ascii="Arial" w:eastAsia="Times New Roman" w:hAnsi="Arial" w:cs="Arial"/>
          <w:color w:val="344051"/>
          <w:sz w:val="24"/>
          <w:szCs w:val="24"/>
        </w:rPr>
        <w:t xml:space="preserve"> and IV.</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Recommendations for or against tenure should originate from the department or academic program unit in which the faculty member is assigned and should include appropriate participation in the recommendation by tenured faculty in the department or academic program unit as specified in Policy.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Tenure is awarded only by positive action of the Board, pursuant to the requirements and procedures of this policy, at a specific university.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No faculty member shall acquire or be entitled to any interest in a tenure appointment at a university without a recommendation for tenure by the president of the university and an affirmative award of tenure by the Board of Regents.</w:t>
      </w:r>
    </w:p>
    <w:p w:rsidR="000E3C7F" w:rsidRPr="004C4D69"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4C4D69">
        <w:rPr>
          <w:rFonts w:ascii="Arial" w:eastAsia="Times New Roman" w:hAnsi="Arial" w:cs="Arial"/>
          <w:color w:val="344051"/>
          <w:sz w:val="24"/>
          <w:szCs w:val="24"/>
        </w:rPr>
        <w:t>No other person shall have any authority to make any representation concerning tenure to any faculty member, and failure to give timely notice of non-renewal of a contract shall not result in the acquisition of a tenure appointment, but shall result in the right of the faculty member to another year of service at the university, provided that no tenure appeals remain outstanding due to lack of cooperation and/or appropriate action on the part of the candidate in completing the appeal process. </w:t>
      </w:r>
    </w:p>
    <w:p w:rsidR="000E3C7F" w:rsidRPr="004C4D69"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5" w:name="Tenure-Process"/>
      <w:r w:rsidRPr="004C4D69">
        <w:rPr>
          <w:rFonts w:ascii="Arial" w:eastAsia="Times New Roman" w:hAnsi="Arial" w:cs="Arial"/>
          <w:color w:val="787F8A"/>
          <w:sz w:val="24"/>
          <w:szCs w:val="24"/>
        </w:rPr>
        <w:t>Tenure Process</w:t>
      </w:r>
      <w:bookmarkEnd w:id="5"/>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Each university policy must contain the following:</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Provisions for a tenure-track faculty member to be guided through the tenure process. Guidance may include provision of a mentor, pre-tenure review, portfolio development workshops, etc.</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 process that defines the levels of review to include peer review.</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Procedures associated with review by each level, a clear description of materials that each level will review.</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 calendar or schedule of the review process.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The types and frequency of evaluation of probationary faculty members in the areas of teaching, service/outreach, and scholarship/creative activities/research.</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University procedures shall ensure that peer committees have qualified privilege of academic confidentiality against disclosure of individual tenure votes unless there is evidence that casts doubt upon the integrity of the peer committee.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This policy shall be interpreted in a manner consistent with T.C.A. § 10-7-101 et seq. The recommendation for tenure must be made by the president to the Chancellor and by the Chancellor to the Board. In the event that tenure is awarded by the Board, the president shall furnish to the faculty member written confirmation of the award.</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Annual evaluations conducted by the candidate’s department chair or other appropriate head of an academic program unit are an important aspect of the criteria for tenure at universities; therefore, university policies should include a clear statement as to the role of evaluation in measuring those criteria relevant to assessing the merit of the probationary candidate. Types of evidence relevant to evaluating effectiveness and contributions in teaching, research/scholarship, and service/outreach are identified in subsections III.A1, 2, and C of this section.</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6" w:name="Minimum-Eligibility-Requirements-for-Con"/>
      <w:r w:rsidRPr="000E3C7F">
        <w:rPr>
          <w:rFonts w:ascii="Arial" w:eastAsia="Times New Roman" w:hAnsi="Arial" w:cs="Arial"/>
          <w:color w:val="787F8A"/>
          <w:sz w:val="24"/>
          <w:szCs w:val="24"/>
        </w:rPr>
        <w:t>Minimum Eligibility Requirements for Consideration for Academic Tenure</w:t>
      </w:r>
      <w:bookmarkEnd w:id="6"/>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University policies must include specifically identifiable sections which define minimum eligibility requirements for consideration for academic tenure. Those sections must clearly distinguish between: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Minimum eligibility requirements for consideration for academic tenure; and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Criteria to be considered in tenure recommendations (see Section III).</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Academic tenure may be awarded only to full-time faculty members who:</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Hold academic rank as instructor, senior instructor, master instructor, assistant professor, associate professor, or professor and meet the minimum rank criteria for that rank as specified in </w:t>
      </w:r>
      <w:r w:rsidR="00264C28">
        <w:rPr>
          <w:rFonts w:ascii="Arial" w:eastAsia="Times New Roman" w:hAnsi="Arial" w:cs="Arial"/>
          <w:color w:val="344051"/>
          <w:sz w:val="24"/>
          <w:szCs w:val="24"/>
        </w:rPr>
        <w:t xml:space="preserve">TSU </w:t>
      </w:r>
      <w:r w:rsidR="004C4D69">
        <w:rPr>
          <w:rFonts w:ascii="Arial" w:eastAsia="Times New Roman" w:hAnsi="Arial" w:cs="Arial"/>
          <w:color w:val="344051"/>
          <w:sz w:val="24"/>
          <w:szCs w:val="24"/>
        </w:rPr>
        <w:t>Board of Trustees</w:t>
      </w:r>
      <w:r w:rsidRPr="000E3C7F">
        <w:rPr>
          <w:rFonts w:ascii="Arial" w:eastAsia="Times New Roman" w:hAnsi="Arial" w:cs="Arial"/>
          <w:color w:val="344051"/>
          <w:sz w:val="24"/>
          <w:szCs w:val="24"/>
        </w:rPr>
        <w:t xml:space="preserve"> Policy No 5:02:02:20 (however, a university may choose not to award tenure to faculty in the rank of instructor);</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Have been employed pursuant to tenure-track appointments and have completed the probationary period of service as stated in the university’s policy, and/or as agreed upon in writing and signed by the appropriate academic officer; and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Have been determined by the university to meet the criteria for recommendation for tenure and have been so recommended pursuant to this policy.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Faculty holding clinical or research appointments are not eligible for tenure, provided, however, that under certain circumstances, such appointments may be converted to tenure track appointments as discussed in faculty appointments, </w:t>
      </w:r>
      <w:r w:rsidR="004C4D69">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Policy Nos. 5:02:07:00 and 5:02:07:10.</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Faculty members supported in whole or in part by funds available to the university on a short-term basis, such as grants, contracts, or foundation sponsored projects, shall not be eligible for tenure unless continuing support for such members can be clearly identified in the regular budget of the university upon the recommendation of tenure to the Board.</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No faculty member shall be eligible for tenure unless the employee’s contract specifies his/her tenure-track status; provided that where a faculty member with tenure is appointed to an administrative position, he/she will retain tenure in a former faculty position only; and provided further that a faculty member otherwise eligible for tenure who also holds a non-faculty position may be awarded tenure in the faculty position only, subject to the requirements of this policy.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Each university may establish additional reasonable requirements for the eligibility of faculty for consideration for tenure. These should include but are not limited to the completion of the doctorate or other specified terminal degree in the faculty member’s discipline, a minimum rank of instructor, assistant professor, and prescribed research and publication achievements. (The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using national standards, will determine what constitutes the termin</w:t>
      </w:r>
      <w:r w:rsidR="004C4D69">
        <w:rPr>
          <w:rFonts w:ascii="Arial" w:eastAsia="Times New Roman" w:hAnsi="Arial" w:cs="Arial"/>
          <w:color w:val="344051"/>
          <w:sz w:val="24"/>
          <w:szCs w:val="24"/>
        </w:rPr>
        <w:t>al degree for each discipline. </w:t>
      </w:r>
      <w:r w:rsidRPr="000E3C7F">
        <w:rPr>
          <w:rFonts w:ascii="Arial" w:eastAsia="Times New Roman" w:hAnsi="Arial" w:cs="Arial"/>
          <w:color w:val="344051"/>
          <w:sz w:val="24"/>
          <w:szCs w:val="24"/>
        </w:rPr>
        <w:t>The university may request exceptions to this standard based upon its mission, or based upon an extraordinary candidate.  In the latter instance, the exception shall be requested when the faculty member is employed and/or when the length of the probationary period is determined.)</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7" w:name="Probationary-Employment"/>
      <w:r w:rsidRPr="000E3C7F">
        <w:rPr>
          <w:rFonts w:ascii="Arial" w:eastAsia="Times New Roman" w:hAnsi="Arial" w:cs="Arial"/>
          <w:color w:val="787F8A"/>
          <w:sz w:val="24"/>
          <w:szCs w:val="24"/>
        </w:rPr>
        <w:t>Probationary Employment</w:t>
      </w:r>
      <w:bookmarkEnd w:id="7"/>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Probationary faculty may be employed on annual tenure-track appointments for a probationary period of which may not exceed six (6) years, however, six (6) years is considered to be the normal length of time required to develop a substantial record in teaching, research and service.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faculty member may apply for tenure following a probationary period of not less than five years, provided that exceptions to the minimum probationary period may be made under special circumstances upon recommendation by the president and approval by the Chancellor.</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Upon approval of such an exception by the Chancellor, the faculty member’s recommendation for tenure will go forward to the Board as meeting the requirements for the probationary period.</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8" w:name="Calculating-the-Probationary-Period"/>
      <w:r w:rsidRPr="000E3C7F">
        <w:rPr>
          <w:rFonts w:ascii="Arial" w:eastAsia="Times New Roman" w:hAnsi="Arial" w:cs="Arial"/>
          <w:color w:val="787F8A"/>
          <w:sz w:val="24"/>
          <w:szCs w:val="24"/>
        </w:rPr>
        <w:t>Calculating the Probationary Period</w:t>
      </w:r>
      <w:bookmarkEnd w:id="8"/>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Only full-time continuous service at a university will be included in determining completion of the probationary period, except where a break in service was pursuant to an approved leave of absence.</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Credit for Prior Service - The minimum probationary period of five years may include credit for prior service when agreed to by the president, and subject to the maximum permissible credit for prior service as noted below:</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Credit toward completion of the probationary period may at the discretion of the president be given for a maximum of three years of previous full-time service at other colleges, universities, or institutes provided that the prior service is relevant to the institution’s own needs and criteria.</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Any credit for prior service that is recognized and agreed to must be confirmed in writing at the time of the initial appointment.</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Credit toward completion of the probation period may, at the discretion of the president, be given for a maximum of three years or previous full-time service in a temporary faculty appointment or term appointment at the same institution or in an earlier tenure-track appointment at the same institution that has been followed by a break in service.</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Any credit for prior service in a temporary full-time faculty appointment at the same institution or in an earlier tenure-track appointment (at the same institution) that has been followed by a break in service must be recognized and confirmed in writing in the appointment letter to a tenure-track position.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Approved Leave of Absence</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A period of approved leave of absence shall be excluded from the requisite period for completion of the probationary period unless the president of the university specified in writing prior to the leave of absence that it shall be included in the probationary period.</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Leaves of absence may not be granted retroactively.</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A faculty member may apply for a maximum of two (2) extensions in one-year increments so long as the total probationary period does not exceed six years.</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Requests for a second extension follow the same procedure and are subject to the same considerations as the original extension.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Stopping the Tenure Clock</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A faculty member in a tenure track appointment may request to “stop the clock” during his/her probationary period when circumstances exist that interrupt the faculty member’s normal progress toward building a case for tenure.</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Discretion for stopping the tenure clock rests on the institution and also requires supervisory approval.  In such cases, the faculty member may request to “stop the tenure clock” for one-year if he/she demonstrates that circumstances reasonably warrant such interruption.</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Reasons for approving a request to “stop the clock” will typically be related to a personal or family situation requiring attention and commitment that consumes the time and energy normally addressed to faculty duties and professional development.</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Examples may include, but are not limited to, childbirth or adoption, care of dependents, medical conditions or obligations, physical disasters or disruptions, or similar circumstances that require a fundamental alteration of one’s professional life.</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The intent of this policy is to serve the best interests of the university while providing neither preference to nor adverse effect on a faculty member’s process of developing a case for tenure.</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Once approved, the “stop the clock” year is not counted in the probationary period accrual.</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Procedure</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A faculty member seeking a modification of his/her probationary period must submit his/her request, in writing, addressing the considerations described above.</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The request is to be submitted to the department chair for consideration and recommendation. The chair’s recommendation is forwarded to the dean of the faculty member’s college for consideration and recommendation; thence to the provost for consideration and recommendation; and finally to the president for approval or denial.</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The president will notify the faculty member, in writing, of the decision to approve or deny such exceptions within one month of submission.</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Requests for modification of the probationary period that are based on a faculty member’s health or care for an immediate family member should also be submitted to the university’s legal counsel or to </w:t>
      </w:r>
      <w:r w:rsidR="004C4D69">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for review.</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0E3C7F">
        <w:rPr>
          <w:rFonts w:ascii="Arial" w:eastAsia="Times New Roman" w:hAnsi="Arial" w:cs="Arial"/>
          <w:color w:val="344051"/>
          <w:sz w:val="24"/>
          <w:szCs w:val="24"/>
        </w:rPr>
        <w:t>A faculty member that is appointed to an administrative position prior to a tenure award remains eligible for tenure under two conditions:</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faculty member must qualify for tenure under departmental or academic program unit, college and university guidelines; and</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faculty member must maintain a significant involvement in academic pursuits including teaching, scholarship and service. The time (or prorated portion of time) spent in the administrative position may be credited toward completion of the probationary period.</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0E3C7F">
        <w:rPr>
          <w:rFonts w:ascii="Arial" w:eastAsia="Times New Roman" w:hAnsi="Arial" w:cs="Arial"/>
          <w:color w:val="344051"/>
          <w:sz w:val="24"/>
          <w:szCs w:val="24"/>
        </w:rPr>
        <w:t>Where a faculty member is serving a probationary period in a department or academic program unit and is subsequently transferred to another department or academic program unit, the faculty mem</w:t>
      </w:r>
      <w:bookmarkStart w:id="9" w:name="_GoBack"/>
      <w:bookmarkEnd w:id="9"/>
      <w:r w:rsidRPr="000E3C7F">
        <w:rPr>
          <w:rFonts w:ascii="Arial" w:eastAsia="Times New Roman" w:hAnsi="Arial" w:cs="Arial"/>
          <w:color w:val="344051"/>
          <w:sz w:val="24"/>
          <w:szCs w:val="24"/>
        </w:rPr>
        <w:t>ber may – with the approval of the president – elect to begin a new probationary period on the date that the transfer occurs.</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If he/she does not so elect (and confirm in writing to the president), time spent in the first appointment shall count toward establishing the minimum and maximum probationary period (see E.1 above).  </w:t>
      </w:r>
    </w:p>
    <w:p w:rsidR="000E3C7F" w:rsidRPr="000E3C7F" w:rsidRDefault="000E3C7F" w:rsidP="000E3C7F">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10" w:name="Criteria-to-be-considered-in-Tenure-Reco"/>
      <w:r w:rsidRPr="000E3C7F">
        <w:rPr>
          <w:rFonts w:ascii="Arial" w:eastAsia="Times New Roman" w:hAnsi="Arial" w:cs="Arial"/>
          <w:color w:val="787F8A"/>
          <w:sz w:val="24"/>
          <w:szCs w:val="24"/>
        </w:rPr>
        <w:t>Criteria to be considered in Tenure Recommendations</w:t>
      </w:r>
      <w:bookmarkEnd w:id="10"/>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1" w:name="Overview"/>
      <w:r w:rsidRPr="000E3C7F">
        <w:rPr>
          <w:rFonts w:ascii="Arial" w:eastAsia="Times New Roman" w:hAnsi="Arial" w:cs="Arial"/>
          <w:color w:val="787F8A"/>
          <w:sz w:val="24"/>
          <w:szCs w:val="24"/>
        </w:rPr>
        <w:t>Overview</w:t>
      </w:r>
      <w:bookmarkEnd w:id="11"/>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nature and relative importance of the criteria for the recommendation for tenure depend upon the nature, mission, and goals of the university in which tenure may be awarded and of the department or academic program unit in which a faculty member is employed.</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faculty member must demonstrate willingness and ability to work effectively with colleagues to support the mission of the institution and the common goals both of the institution and of the academic organizational unit.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Moreover, criteria for tenure relate to the university’s three traditional, and often inter-related, missions:  teaching, research/scholarship/creative activities, and service/outreach. </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2" w:name="Teaching"/>
      <w:r w:rsidRPr="000E3C7F">
        <w:rPr>
          <w:rFonts w:ascii="Arial" w:eastAsia="Times New Roman" w:hAnsi="Arial" w:cs="Arial"/>
          <w:color w:val="787F8A"/>
          <w:sz w:val="24"/>
          <w:szCs w:val="24"/>
        </w:rPr>
        <w:t>Teaching</w:t>
      </w:r>
      <w:bookmarkEnd w:id="12"/>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Effective teaching is an essential qualification for tenure, and tenure should not be granted in the absence of clear evidence of a candidate’s teaching ability and potential for continued development.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Excellence in teaching is a strong recommendation for both tenure and promotion though it cannot be considered in isolation from scholarship and service.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Although it is difficult to establish evidence of teaching excellence, each department must develop a procedure to ensure that factual information relative to a candidate’s teaching is available at the time he/she is considered for tenure. It is expected that a component of teaching is effective student advisement.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teaching portfolio should include, but is not limited to, evidence of teaching excellence as follows: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Ability to organize and present subject matter in a logical and meaningful way;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Ability to motivate and stimulate creativity, intellectual curiosity, and interest in writing and inquiry in undergraduates and/or graduate students; and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Evidence of peer evaluation.</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Documentation of teaching should routinely include:</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Statement of teaching philosophy;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Course materials;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Student evaluations for every course evaluated during the probationary period; and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Evidence of supervision of student projects and other forms of student mentor ships.</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 candidate for tenure may choose to include other types of evidence that support his/her application for tenure such as: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Additional student input;</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Student products;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Teaching recognition;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Teaching scholarship;</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Peer input;</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Evidence of professional development in teaching;</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Evidence of disciplinary or interdisciplinary program or curricular development;</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Alumni surveys and student exit interviews; and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Other evidence of excellence in teaching or mentoring, or both.</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3" w:name="Research/Scholarship/Creative-Activities"/>
      <w:r w:rsidRPr="000E3C7F">
        <w:rPr>
          <w:rFonts w:ascii="Arial" w:eastAsia="Times New Roman" w:hAnsi="Arial" w:cs="Arial"/>
          <w:color w:val="787F8A"/>
          <w:sz w:val="24"/>
          <w:szCs w:val="24"/>
        </w:rPr>
        <w:t>Research/Scholarship/Creative Activities</w:t>
      </w:r>
      <w:bookmarkEnd w:id="13"/>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 candidate for tenure must present evidence of his/her research, scholarship and/or creative activities when he/she applies for tenure.</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Such evidence should cite books, journal articles, monographs, creative activities, performances, or exhibitions that have undergone appropriate peer review.</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Research publications in refereed journals or media of similar quality are considered reliable indicators of research/scholarly ability.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Written reviews and evaluations by qualified peers, either in person or aided by other forms of reports, or both, are appropriate for performances, compositions, and other artistic creations.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Books published by reputable firms and articles in refereed journals, reviewed by recognized scholars, are more significant than those that are not subjected to such rigorous examination.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It should be emphasized that quality is more important than quantity.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tenure dossier/application must include evidence of peer review of the candidate’s record of research/scholarly activity by qualified peers. The scholarship of teaching is a valid measure of research capability.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It goes beyond doing a good job in the classroom; creative teachers should organize, record, and document their efforts in such a way that their colleagues may share their contributions to the art of teaching.</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Appropriate textbooks or educational articles in one’s own discipline and innovative contributions to teaching, if published or presented in a peer-reviewed forum, constitute scholarship of teaching.</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3. Service/Outreach Service and/or outreach encompass a faculty member’s activities in one of three areas: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Outreach or public service;</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University service; and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Professional service.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outreach or public service function is the university’s outreach to the community and society at large, with major emphasis on the application of knowledge for the solution of problems with which society is confronted.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Outreach primarily involves sharing professional expertise and should directly support the goals and mission of the university.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 vital component of the university’s mission, public service must be performed at the same high levels of quality that characterize the teaching and research programs.</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University service refers to work other than teaching and scholarship done at the department, college, or university level. A certain amount of such service is expected of every faculty member; indeed, universities could hardly function without conscientious faculty who perform committee work and other administrative responsibilities.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University service includes, but is not limited to, serving on departmental committees and participating in college and university committees.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Some faculty members may accept more extensive citizenship functions, such as a leadership role in the Faculty Senate, membership on a specially appointed task force, service as advisor to a university-wide student organization, and membership on a university search committee.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Professional service refers to the work done for organizations related to one’s discipline or to the teaching profession generally.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Service to the profession includes association leadership, journal editorships, </w:t>
      </w:r>
      <w:proofErr w:type="gramStart"/>
      <w:r w:rsidRPr="000E3C7F">
        <w:rPr>
          <w:rFonts w:ascii="Arial" w:eastAsia="Times New Roman" w:hAnsi="Arial" w:cs="Arial"/>
          <w:color w:val="344051"/>
          <w:sz w:val="24"/>
          <w:szCs w:val="24"/>
        </w:rPr>
        <w:t>article</w:t>
      </w:r>
      <w:proofErr w:type="gramEnd"/>
      <w:r w:rsidRPr="000E3C7F">
        <w:rPr>
          <w:rFonts w:ascii="Arial" w:eastAsia="Times New Roman" w:hAnsi="Arial" w:cs="Arial"/>
          <w:color w:val="344051"/>
          <w:sz w:val="24"/>
          <w:szCs w:val="24"/>
        </w:rPr>
        <w:t xml:space="preserve"> and grant proposal review, guest lecturing on other campuses, and other appropriate activities.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While it is difficult to define the exact nature of significant professional service, clearly more is required than organizational membership and attendance; examples of significant service would be that done by an officer of a professional organization or a member of the editorial staff of a journal.</w:t>
      </w:r>
    </w:p>
    <w:p w:rsidR="000E3C7F" w:rsidRPr="000E3C7F" w:rsidRDefault="000E3C7F" w:rsidP="000E3C7F">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14" w:name="Changes-in-Tenure/Tenure-Track-Status"/>
      <w:r w:rsidRPr="000E3C7F">
        <w:rPr>
          <w:rFonts w:ascii="Arial" w:eastAsia="Times New Roman" w:hAnsi="Arial" w:cs="Arial"/>
          <w:color w:val="787F8A"/>
          <w:sz w:val="24"/>
          <w:szCs w:val="24"/>
        </w:rPr>
        <w:t>Changes in Tenure/Tenure-Track Status</w:t>
      </w:r>
      <w:bookmarkEnd w:id="14"/>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5" w:name="Non-renewal-of-Probationary-Tenure-Track"/>
      <w:r w:rsidRPr="000E3C7F">
        <w:rPr>
          <w:rFonts w:ascii="Arial" w:eastAsia="Times New Roman" w:hAnsi="Arial" w:cs="Arial"/>
          <w:color w:val="787F8A"/>
          <w:sz w:val="24"/>
          <w:szCs w:val="24"/>
        </w:rPr>
        <w:t>Non-renewal of Probationary Tenure-Track</w:t>
      </w:r>
      <w:bookmarkEnd w:id="15"/>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When tenure-track appointments of faculty are not to be renewed for further service, the faculty member shall receive notice of his/her non-retention for the ensuing academic year as follows: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Not later than April 1 of the first academic year of service, if the appointment expires at the end of that year; or, if the appointment terminates during an academic year, at least two months in advance of its termination;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Not later than January 1 of the second year of service, if the appointment expires at the end of that year; or, if the appointment terminates during an academic year, at least five months in advance of its termination;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Not later than the close of the academic year preceding the third or subsequent year of service, if the appointment expires at the end of that year; or, if the appointment terminates during an academic year, at least twelve months in advance of its termination. </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above stated dates are the latest dates for notice of non-renewal of faculty on tenure-track appointments, and each university may adopt annual dates which provide for longer notice of non-renewal. Notice of non-renewal shall be effective upon personal delivery of the notice to the faculty member, or upon the date the notice is mailed, postage prepaid, to the faculty member at his/her current home address of record at the university.</w:t>
      </w:r>
    </w:p>
    <w:p w:rsidR="000E3C7F" w:rsidRPr="00A24169"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highlight w:val="yellow"/>
        </w:rPr>
      </w:pPr>
      <w:r w:rsidRPr="00A24169">
        <w:rPr>
          <w:rFonts w:ascii="Arial" w:eastAsia="Times New Roman" w:hAnsi="Arial" w:cs="Arial"/>
          <w:color w:val="344051"/>
          <w:sz w:val="24"/>
          <w:szCs w:val="24"/>
          <w:highlight w:val="yellow"/>
        </w:rPr>
        <w:t>Applicable dates for notice of non-renewal are based upon actual years of service at a particular university and in no way affected by any credit for prior service. When a faculty member on a tenure-track appointment completes his/her probationary period, the faculty member will be recommended for tenure by the president or will be given notice of non-renewal of the appointment during the spring term following application for such status. Such notice of non-renewal should be given not later than the final day of the academic year. The faculty member’s right in an instance where timely notice is not given is described in II.A.8.</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Faculty members on tenure-track appointments shall not be terminated during the term of the annual appointment as stated in the employment contract except for reasons which would be sufficient for the termination of tenured faculty.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non-renewal or non-reappointment of any faculty member on a tenure-track appointment does not necessarily carry an implication that his/her work or conduct has been unsatisfactory.</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proofErr w:type="gramStart"/>
      <w:r w:rsidRPr="000E3C7F">
        <w:rPr>
          <w:rFonts w:ascii="Arial" w:eastAsia="Times New Roman" w:hAnsi="Arial" w:cs="Arial"/>
          <w:color w:val="344051"/>
          <w:sz w:val="24"/>
          <w:szCs w:val="24"/>
        </w:rPr>
        <w:t xml:space="preserve">Unless there is a violation of state or federal law under the limitations described in 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Policy on Appeals (1:02:11:00), decisions that are not subject to appeal to the Chancellor include (a) non-renewal of a tenure-track faculty appointment during the first five years of the probationary period and (b) denial of tenure unaccompanied by notice of termination in the fifth year of the probationary period.</w:t>
      </w:r>
      <w:proofErr w:type="gramEnd"/>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6" w:name="Transfer-of-Tenure"/>
      <w:r w:rsidRPr="000E3C7F">
        <w:rPr>
          <w:rFonts w:ascii="Arial" w:eastAsia="Times New Roman" w:hAnsi="Arial" w:cs="Arial"/>
          <w:color w:val="787F8A"/>
          <w:sz w:val="24"/>
          <w:szCs w:val="24"/>
        </w:rPr>
        <w:t>Transfer of Tenure</w:t>
      </w:r>
      <w:bookmarkEnd w:id="16"/>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Where a faculty member is tenured in an academic program unit (e.g., a department or division) he/she may be transferred to another academic program unit.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In such cases, the transfer will be made with tenure; moreover, the tenure appointment will be transferred to the new academic program unit.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In no instance may the faculty member be compelled to relinquish tenure as a condition for affecting the transfer.</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7" w:name="Expiration-of-Tenure"/>
      <w:r w:rsidRPr="000E3C7F">
        <w:rPr>
          <w:rFonts w:ascii="Arial" w:eastAsia="Times New Roman" w:hAnsi="Arial" w:cs="Arial"/>
          <w:color w:val="787F8A"/>
          <w:sz w:val="24"/>
          <w:szCs w:val="24"/>
        </w:rPr>
        <w:t>Expiration of Tenure </w:t>
      </w:r>
      <w:bookmarkEnd w:id="17"/>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Tenure status shall expire upon retirement of the faculty member.</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Tenure shall also expire upon the event of permanent physical or mental inability of a faculty member, as established by an appropriate medical authority, to continue to perform his/her assigned duties.</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8" w:name="Relinquishment-of-Tenure"/>
      <w:r w:rsidRPr="000E3C7F">
        <w:rPr>
          <w:rFonts w:ascii="Arial" w:eastAsia="Times New Roman" w:hAnsi="Arial" w:cs="Arial"/>
          <w:color w:val="787F8A"/>
          <w:sz w:val="24"/>
          <w:szCs w:val="24"/>
        </w:rPr>
        <w:t>Relinquishment of Tenure</w:t>
      </w:r>
      <w:bookmarkEnd w:id="18"/>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 faculty member shall relinquish or waive his/her right to tenure upon resignation from the university or upon failure to report for service at the designated date of the beginning of any academic term, which shall be deemed to be a resignation unless, in the opinion of the president, the faculty member has shown good cause for such failure to report.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Where a tenured faculty member is transferred or reclassified to another department or academic program unit by the university, the transfer or reassignment shall be with tenure.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Tenure is not relinquished during administrative assignments at the university. </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19" w:name="Termination-of-Tenure-for-Reasons-of-Fin"/>
      <w:r w:rsidRPr="000E3C7F">
        <w:rPr>
          <w:rFonts w:ascii="Arial" w:eastAsia="Times New Roman" w:hAnsi="Arial" w:cs="Arial"/>
          <w:color w:val="787F8A"/>
          <w:sz w:val="24"/>
          <w:szCs w:val="24"/>
        </w:rPr>
        <w:t>Termination of Tenure for Reasons of Financial Exigency</w:t>
      </w:r>
      <w:bookmarkEnd w:id="19"/>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 tenured faculty member may be terminated as a result of financial exigency at a university subject to Board declaration that such financial conditions exist.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Personnel decisions (including those pertaining to tenured faculty) that result from a declaration of financial exigency at a Board of Regents university will comply with the Board Policy on Financial Exigency (5:02:06:00). </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20" w:name="Termination-of-Tenure-for-Curricular-Rea"/>
      <w:r w:rsidRPr="000E3C7F">
        <w:rPr>
          <w:rFonts w:ascii="Arial" w:eastAsia="Times New Roman" w:hAnsi="Arial" w:cs="Arial"/>
          <w:color w:val="787F8A"/>
          <w:sz w:val="24"/>
          <w:szCs w:val="24"/>
        </w:rPr>
        <w:t>Termination of Tenure for Curricular Reasons</w:t>
      </w:r>
      <w:bookmarkEnd w:id="20"/>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employment of a tenured faculty member may be terminated because:</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An academic program is deleted from the curriculum; or</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Because of substantial and continued reduction of student enrollment in a field or discipline.</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Before declaring that curricular reasons exist, the president will ensure meaningful participation by the university’s representative faculty body in identifying the specific curricular reasons, evaluating the long-term effect on the university’s curriculum and its strategic planning goals, and the advisability of initiating further action.</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Prior to initiating the process described below, the president will present-either verbally or in writing - a description of curricular reasons that may warrant the termination of tenured faculty member(s).</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Each university policy will describe procedures whereby this presentation will be made to a representative faculty body, and that body will have the opportunity to respond in writing to the president before action described below is initiated.</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Each of these reasons for termination of tenure for curricular reasons must denote shifts in staffing needs that warrant greater reductions than those which are accommodated annually in light of shifting positions from one department to another or among colleges to handle changing enrollment patterns (see Definitions, G.6 below). </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21" w:name="Procedures-for-Termination-of-Tenure"/>
      <w:r w:rsidRPr="000E3C7F">
        <w:rPr>
          <w:rFonts w:ascii="Arial" w:eastAsia="Times New Roman" w:hAnsi="Arial" w:cs="Arial"/>
          <w:color w:val="787F8A"/>
          <w:sz w:val="24"/>
          <w:szCs w:val="24"/>
        </w:rPr>
        <w:t>Procedures for Termination of Tenure</w:t>
      </w:r>
      <w:bookmarkEnd w:id="21"/>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Upon determining that termination of one or more tenured faculty members is required for one or more of the two reasons cited above, the president shall furnish each faculty member to be terminated a written statement of the reasons for the termination.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Those reasons shall address fully the curricular circumstances that warranted the termination and shall indicate the manner and the information upon which the decision of which faculty members were to be terminated was reached.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The president’s written statement shall also indicate that the faculty member has the opportunity to respond in writing stating any objections to the decision.</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If the faculty member(s) to be terminated indicate(s) objections to the president’s written statement(s) and request(s) a review, the president will appoint a faculty committee consisting of a minimum of five tenured faculty members from a slate of ten tenured faculty members proposed by the representative faculty body.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The committee shall conduct a hearing on the proposed termination(s).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The committee shall report its findings and recommendations to the president, who shall in a reasonable time inform the faculty member(s) proposed for termination in writing either that the decision for termination stands or that it has been altered.</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The president’s decision to terminate a tenured faculty member for curricular reasons is subject to appeal to the Chancellor and the Board as provided in the policy on appeals to the Board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Policy 1:02:11:00).</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When a tenured faculty member is terminated for curricular reasons, the position will not be filled by a new appointee with the same areas of specialization as the terminated faculty member within a period of three years unless the terminated faculty member has been offered, in writing, reappointment to the position at his/her previous rank and salary (with the addition of an appropriate increase which, in the opinion of the president, would constitute the raise(s) that would have been awarded during the period that he/she was not employed).</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Upon determining that termination of one or more tenured faculty members is warranted for curricular reasons, the president shall base his/her decision about which faculty member(s) should be terminated upon his/her assessment as to what action would least seriously compromise the educational programs in a department or division.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Termination for curricular reasons presumes a staffing pattern in a department or academic program unit which cannot be warranted either by comparison with general load practices within the university or by comparison with faculty loads in comparable departments or academic program units at similar universities.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In that light, the president shall also, at his/her discretion, base his/her decision on a careful assessment of the impact of the curricular reason on staffing requirements in the department or academic program unit as compared to overall patterns in the university and to comparable departments or academic program units which, in his/her judgment, are in universities similar enough to warrant assessment.</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Definitions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“Program is deleted from the curriculum” means that the Board takes formal action to terminate a degree major, concentration, or other curricular component and that such termination eliminates or reduces need for faculty qualified in that discipline or area of specialization.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“Substantive and continued reduction of student enrollment in a field” means that over a period of at least three (3) years student enrollment in a field has decreased at a rate in considerable excess of that of the university as a whole and that such reduction has resulted in faculty-student ratios that, in the opinion of the president, cannot be warranted either by comparison with equivalent faculty load practices within the university or by comparisons with faculty loads in comparable departments or academic program units at similar universities which the president would deem to be appropriate for comparison.</w:t>
      </w:r>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When a tenured faculty member is to be terminated for curricular reasons, the president will make every possible effort to relocate the tenured faculty member in another existing vacant position for which he/she is qualified.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In instances where (in the opinion of the president) relocation within the university is a viable alternative, the university has an obligation to make significant effort to relocate the faculty member, including the bearing of reasonable retraining costs.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The final decision on relocation is within the discretion of the president.</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22" w:name="Termination-for-Adequate-Cause"/>
      <w:r w:rsidRPr="000E3C7F">
        <w:rPr>
          <w:rFonts w:ascii="Arial" w:eastAsia="Times New Roman" w:hAnsi="Arial" w:cs="Arial"/>
          <w:color w:val="787F8A"/>
          <w:sz w:val="24"/>
          <w:szCs w:val="24"/>
        </w:rPr>
        <w:t>Termination for Adequate Cause</w:t>
      </w:r>
      <w:bookmarkEnd w:id="22"/>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A faculty member with tenure or a faculty member on a tenure-track appointment prior to the end of the term of appointment may be terminated for adequate cause, which includes the following:</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Incompetence or dishonesty in teaching or research.</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Willful failure to perform the duties and responsibilities for which the faculty member was employed or refusal or continued failure to comply with the policies of the Board, the university or the department, or to carry out specific assignments, when such policies or assignments are reasonable and non-discriminatory.</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Conviction of a felony or a crime involving moral turpitude.</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Improper use of narcotics or intoxicants, which substantially impairs the faculty member’s fulfillment of his/her departmental and university duties and responsibilities.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Capricious disregard of accepted standards of professional conduct.</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Falsification of information on an employment application or other information concerning qualifications for a position.</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Failure to maintain the level of professional excellence and ability demonstrated by other members of the faculty in the department or academic program unit of the university.</w:t>
      </w:r>
    </w:p>
    <w:p w:rsidR="000E3C7F" w:rsidRPr="000E3C7F" w:rsidRDefault="000E3C7F" w:rsidP="000E3C7F">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bookmarkStart w:id="23" w:name="Procedures-for-Termination-for-Adequate-"/>
      <w:r w:rsidRPr="000E3C7F">
        <w:rPr>
          <w:rFonts w:ascii="Arial" w:eastAsia="Times New Roman" w:hAnsi="Arial" w:cs="Arial"/>
          <w:color w:val="787F8A"/>
          <w:sz w:val="24"/>
          <w:szCs w:val="24"/>
        </w:rPr>
        <w:t>Procedures for Termination for Adequate Cause</w:t>
      </w:r>
      <w:bookmarkEnd w:id="23"/>
    </w:p>
    <w:p w:rsidR="000E3C7F" w:rsidRPr="000E3C7F" w:rsidRDefault="000E3C7F" w:rsidP="000E3C7F">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0E3C7F">
        <w:rPr>
          <w:rFonts w:ascii="Arial" w:eastAsia="Times New Roman" w:hAnsi="Arial" w:cs="Arial"/>
          <w:color w:val="344051"/>
          <w:sz w:val="24"/>
          <w:szCs w:val="24"/>
        </w:rPr>
        <w:t>Termination of a faculty member with a tenure appointment, or with a tenure-track or temporary appointment prior to the annual specified term of the appointment, shall be subject to the following procedures:</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No termination shall be effective until steps 4 through 9 below have been completed.</w:t>
      </w:r>
    </w:p>
    <w:p w:rsidR="000E3C7F" w:rsidRPr="000E3C7F" w:rsidRDefault="000E3C7F" w:rsidP="000E3C7F">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0E3C7F">
        <w:rPr>
          <w:rFonts w:ascii="Arial" w:eastAsia="Times New Roman" w:hAnsi="Arial" w:cs="Arial"/>
          <w:color w:val="344051"/>
          <w:sz w:val="24"/>
          <w:szCs w:val="24"/>
        </w:rPr>
        <w:t>Suspensions pending termination shall be governed by the following procedure.</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A faculty member may not be suspended pending completion of steps 4 through 9 unless it is determined by the university that the faculty member’s presence poses a danger to persons or property or a threat of destruction to the academic or operational processes of the university. Reassignment of responsibilities is not considered suspension; however, the faculty member must be reassigned responsibilities for which he/she is qualified.</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In any case of suspension, the faculty member shall be given an opportunity at the time of the decision or immediately thereafter to contest the suspension; and, if there are disputed issues of fact or cause and effect, the faculty member shall be provided the opportunity for a hearing on the suspension as soon as possible at which time the faculty member may cross-examine his/her accuser, present witnesses on his/her behalf, and be represented by an attorney. Thereafter, whether the suspension is upheld or revoked, the matter shall proceed pursuant to these procedures.</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Except for such simple announcements as may be required concerning the time of proceedings and similar matters, public statements and publicity about these proceedings by either the faculty member or administrative officers will be avoided so far as possible until the proceedings have been completed, including consideration by the Board.</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Upon a recommendation by the chief academic officer of the university to the president or upon a decision by the president that these procedures should be undertaken in consideration of the termination of a tenured faculty member, one or more appropriate administrators shall meet privately with the faculty member for purposes of attempting to reach a mutually acceptable resolution of the problems giving rise to the proposed termination proceedings.</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If no mutually acceptable resolution is reached through step 4 the following steps shall be taken.</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The faculty member shall be provided with a written statement of the specific charges alleged by the university which constitute grounds for termination and a notice of hearing specifying the time, date, and place of the hearing. The statement and notice must be provided at least twenty (20) days prior to the hearing. The faculty member shall respond to the charges in writing at least five (5) days prior to the hearing. The faculty member may waive the hearing by execution of a written waiver.</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A committee consisting of tenured faculty or tenured faculty and administrators shall be appointed to hear the case and to determine if adequate cause for termination exists according to the procedure herein described. The committee shall be appointed by the president and the officially recognized faculty senate, assembly or advisory committee, with each appointing the number of members designated by the policy of the university. The committee may not include any member of the faculty committee referred to in 4 above. Members deeming themselves disqualified for bias or interest shall remove themselves from the case, either at the request of a party or on their own initiative. Members of the committee shall not discuss the case outside committee deliberations and shall report any ex-parte communication pertaining to the hearing to the president who shall notify all parties of the communication.</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The hearing committee shall elect a chairperson who shall direct the proceedings and rule on procedural matters, including the granting of reasonable extensions of time at the request of any party and upon the showing of good cause for the extension.</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The chairperson of the hearing committee may in his/her discretion require a joint pre-hearing conference with the parties which may be held in person or by a conference telephone call. The purpose of the pre-hearing conference should include but is not limited to one or more of the following:</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As notification as to procedure for conduct of the hearing.</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To exchange of witness lists, documentary evidence, and affidavits.</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To define and clarify issues.</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To effect stipulations of fact. A written memorandum of the pre-hearing conference should be prepared and provided to each party.</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A hearing shall be conducted by the hearing committee to determine whether adequate cause for termination of the faculty member exists. The hearing shall be conducted according to the procedures below.</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During the hearing, the faculty member will be permitted to have an academic advisor present and may be represented by legal counsel of his/her choice.</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A verbatim record of the hearing will be taken and a typewritten copy will be made available to the faculty member, upon request, at the faculty member’s expense.</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The burden of proof that adequate cause exists rests with the university and shall be satisfied only by clear and convincing evidence in the record considered as a whole.</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The faculty member will be afforded an opportunity to obtain necessary witnesses and documentary or other evidence. The administration will cooperate with the committee in using its best efforts to secure witnesses and make available documentary and other evidence that is under its control.</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The faculty member and the administration will have the right to confront and cross-examine all witnesses. Where the witnesses cannot or will not appear, but the committee determines that the interests of justice require admission of their statements, the committee will identify the witnesses, disclose their statements, and, if possible, provide for interrogatories. An affidavit may be submitted in lieu of the personal appearance of a witness if the party offering the affidavit has provided a copy to the opposing party at least ten (10) days prior to the hearing and the opposing party has not objected to the admission of the affidavit in writing within seven (7) days after delivery of the affidavit or if the committee chairperson determines that the admission of the affidavit is necessary to ensure a just and fair decision.</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In a hearing on charges of incompetence, the testimony shall include that of qualified faculty members from the university or other universities of higher education.</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The hearing committee will not be bound by strict rules of legal evidence and may admit any evidence which is of probative value in determining the issues involved. Every possible effort will be made to obtain the most reliable evidence available.</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The findings of fact and the report will be based solely on the hearing record.</w:t>
      </w:r>
    </w:p>
    <w:p w:rsidR="000E3C7F" w:rsidRPr="000E3C7F" w:rsidRDefault="000E3C7F" w:rsidP="000E3C7F">
      <w:pPr>
        <w:numPr>
          <w:ilvl w:val="5"/>
          <w:numId w:val="5"/>
        </w:numPr>
        <w:shd w:val="clear" w:color="auto" w:fill="FFFFFF"/>
        <w:spacing w:before="100" w:beforeAutospacing="1" w:after="100" w:afterAutospacing="1" w:line="450" w:lineRule="atLeast"/>
        <w:ind w:left="2250"/>
        <w:rPr>
          <w:rFonts w:ascii="Arial" w:eastAsia="Times New Roman" w:hAnsi="Arial" w:cs="Arial"/>
          <w:color w:val="344051"/>
          <w:sz w:val="24"/>
          <w:szCs w:val="24"/>
        </w:rPr>
      </w:pPr>
      <w:r w:rsidRPr="000E3C7F">
        <w:rPr>
          <w:rFonts w:ascii="Arial" w:eastAsia="Times New Roman" w:hAnsi="Arial" w:cs="Arial"/>
          <w:color w:val="344051"/>
          <w:sz w:val="24"/>
          <w:szCs w:val="24"/>
        </w:rPr>
        <w:t>The president and the faculty member will be provided a copy of the written committee report. The committee’s written report shall specify findings of fact and shall state whether the committee has determined that adequate cause for termination exists and, if so, the specific grounds for termination found. In addition, the committee may recommend action less than dismissal. The report shall also specify any applicable policy the committee considered.</w:t>
      </w:r>
    </w:p>
    <w:p w:rsidR="000E3C7F" w:rsidRPr="000E3C7F" w:rsidRDefault="000E3C7F" w:rsidP="000E3C7F">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After consideration of the committee’s report and the record, the president may in his/her discretion consult with the faculty member prior to reaching a final decision regarding termination. Following his/her review, the president shall notify the faculty member of his/her decision, which, if contrary to the committee’s recommendation shall be accompanied by a statement of the reasons. If the faculty member is terminated or suspended as a result of the president’s decision, the faculty member may appeal the president’s action to the Chancellor pursuant to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Policy 1:02:11:00. Review of the appeal shall be based upon the record of hearing. If upon review of the record, the Chancellor notes objections regarding the termination and/or its proceedings, the matter will be returned to the president for reconsideration, taking into account the stated objections, and, at the discretion of the president, the case may be returned to the hearing committee for further proceedings. </w:t>
      </w:r>
    </w:p>
    <w:p w:rsidR="000E3C7F" w:rsidRPr="000E3C7F" w:rsidRDefault="000E3C7F" w:rsidP="000E3C7F">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24" w:name="exhibits"/>
      <w:bookmarkEnd w:id="24"/>
      <w:r w:rsidRPr="000E3C7F">
        <w:rPr>
          <w:rFonts w:ascii="inherit" w:eastAsia="Times New Roman" w:hAnsi="inherit" w:cs="Arial"/>
          <w:b/>
          <w:bCs/>
          <w:color w:val="344051"/>
          <w:sz w:val="29"/>
          <w:szCs w:val="29"/>
        </w:rPr>
        <w:t>Sources</w:t>
      </w:r>
    </w:p>
    <w:p w:rsidR="000E3C7F" w:rsidRPr="000E3C7F" w:rsidRDefault="000E3C7F" w:rsidP="000E3C7F">
      <w:pPr>
        <w:shd w:val="clear" w:color="auto" w:fill="FFFFFF"/>
        <w:spacing w:after="24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TBR Board Meeting April 2, 2004; Board Meeting June 20, 2014.</w:t>
      </w:r>
    </w:p>
    <w:p w:rsidR="000E3C7F" w:rsidRPr="000E3C7F" w:rsidRDefault="000E3C7F" w:rsidP="000E3C7F">
      <w:pPr>
        <w:shd w:val="clear" w:color="auto" w:fill="FFFFFF"/>
        <w:spacing w:after="24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This policy is a result of a comprehensive revision of former TBR Policy 5:02:03:00, Academic Freedom, Responsibility and Tenure.  The former policy included provisions related to academic freedom and responsibility and tenure in both universities and community colleges. The revision, approved by 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xml:space="preserve"> on April 2, 2004, created a separate policy on academic freedom and responsibility pertinent to both universities and community colleges, established separate policies relative to tenure for universities and community colleges, and instituted separate policies on faculty appointments for universities and community colleges.  Faculty members appointed prior to July 1, 2004, may elect to be considered for tenure under the provisions of Policy 5:02:03:00 or under the revised policy for a four-year phase-in period.  The revised policy will be applicable to all tenure action taken on or subsequent to July 1, 2008, for faculty whose employment began on or after July 1, 2004.</w:t>
      </w:r>
    </w:p>
    <w:p w:rsidR="000E3C7F" w:rsidRPr="000E3C7F" w:rsidRDefault="000E3C7F" w:rsidP="000E3C7F">
      <w:pPr>
        <w:shd w:val="clear" w:color="auto" w:fill="FFFFFF"/>
        <w:spacing w:after="24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 xml:space="preserve">Note:  This policy became effective on July 1, 1976, as to all faculty then or thereafter employed in the </w:t>
      </w:r>
      <w:r w:rsidR="00264C28">
        <w:rPr>
          <w:rFonts w:ascii="Arial" w:eastAsia="Times New Roman" w:hAnsi="Arial" w:cs="Arial"/>
          <w:color w:val="344051"/>
          <w:sz w:val="24"/>
          <w:szCs w:val="24"/>
        </w:rPr>
        <w:t>TSU Board of Trustees</w:t>
      </w:r>
      <w:r w:rsidRPr="000E3C7F">
        <w:rPr>
          <w:rFonts w:ascii="Arial" w:eastAsia="Times New Roman" w:hAnsi="Arial" w:cs="Arial"/>
          <w:color w:val="344051"/>
          <w:sz w:val="24"/>
          <w:szCs w:val="24"/>
        </w:rPr>
        <w:t>’ System. The minimum qualifications and requirements for eligibility for an award of tenure applied to all faculty who had not previously been expressly awarded tenure by the Board, and the previous probationary period for such faculty was extended to a maximum of seven years. Faculty who had previously been awarded tenure retained their tenured status under this policy, subject to its terms and conditions.  The definition of tenure (see p. 2 of 20) shall become effective January 1, 1984. That definition shall only apply to faculty tenured subsequent to the effective date. For faculty members tenured previous to January 1, 1984, the applicable definition of tenure shall be: “a status pursuant to which the academic year appointments of full-time faculty who have been awarded tenure are continued at a university until the expiration or relinquishment of that status, subject to termination for adequate cause for financial exigency or curricular reasons (see policy adopted June 25, 1976).”</w:t>
      </w:r>
    </w:p>
    <w:p w:rsidR="000E3C7F" w:rsidRPr="000E3C7F" w:rsidRDefault="000E3C7F" w:rsidP="000E3C7F">
      <w:pPr>
        <w:shd w:val="clear" w:color="auto" w:fill="FFFFFF"/>
        <w:spacing w:after="240" w:line="450" w:lineRule="atLeast"/>
        <w:rPr>
          <w:rFonts w:ascii="Arial" w:eastAsia="Times New Roman" w:hAnsi="Arial" w:cs="Arial"/>
          <w:color w:val="344051"/>
          <w:sz w:val="24"/>
          <w:szCs w:val="24"/>
        </w:rPr>
      </w:pPr>
      <w:r w:rsidRPr="000E3C7F">
        <w:rPr>
          <w:rFonts w:ascii="Arial" w:eastAsia="Times New Roman" w:hAnsi="Arial" w:cs="Arial"/>
          <w:color w:val="344051"/>
          <w:sz w:val="24"/>
          <w:szCs w:val="24"/>
        </w:rPr>
        <w:t> </w:t>
      </w:r>
    </w:p>
    <w:p w:rsidR="000E3C7F" w:rsidRPr="000E3C7F" w:rsidRDefault="000E3C7F" w:rsidP="000E3C7F">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0E3C7F">
        <w:rPr>
          <w:rFonts w:ascii="inherit" w:eastAsia="Times New Roman" w:hAnsi="inherit" w:cs="Arial"/>
          <w:b/>
          <w:bCs/>
          <w:color w:val="344051"/>
          <w:sz w:val="29"/>
          <w:szCs w:val="29"/>
        </w:rPr>
        <w:t>Related Policies</w:t>
      </w:r>
    </w:p>
    <w:p w:rsidR="000E3C7F" w:rsidRPr="000E3C7F" w:rsidRDefault="004C4D69" w:rsidP="000E3C7F">
      <w:pPr>
        <w:numPr>
          <w:ilvl w:val="0"/>
          <w:numId w:val="6"/>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5" w:history="1">
        <w:r w:rsidR="000E3C7F" w:rsidRPr="000E3C7F">
          <w:rPr>
            <w:rFonts w:ascii="Arial" w:eastAsia="Times New Roman" w:hAnsi="Arial" w:cs="Arial"/>
            <w:color w:val="787F8A"/>
            <w:sz w:val="24"/>
            <w:szCs w:val="24"/>
            <w:u w:val="single"/>
          </w:rPr>
          <w:t>Appeals and Appearances Before the Board</w:t>
        </w:r>
      </w:hyperlink>
    </w:p>
    <w:p w:rsidR="000E3C7F" w:rsidRPr="000E3C7F" w:rsidRDefault="004C4D69" w:rsidP="000E3C7F">
      <w:pPr>
        <w:numPr>
          <w:ilvl w:val="0"/>
          <w:numId w:val="6"/>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6" w:history="1">
        <w:r w:rsidR="000E3C7F" w:rsidRPr="000E3C7F">
          <w:rPr>
            <w:rFonts w:ascii="Arial" w:eastAsia="Times New Roman" w:hAnsi="Arial" w:cs="Arial"/>
            <w:color w:val="787F8A"/>
            <w:sz w:val="24"/>
            <w:szCs w:val="24"/>
            <w:u w:val="single"/>
          </w:rPr>
          <w:t>Faculty Promotion at Universities</w:t>
        </w:r>
      </w:hyperlink>
    </w:p>
    <w:p w:rsidR="000E3C7F" w:rsidRPr="000E3C7F" w:rsidRDefault="004C4D69" w:rsidP="000E3C7F">
      <w:pPr>
        <w:numPr>
          <w:ilvl w:val="0"/>
          <w:numId w:val="6"/>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7" w:history="1">
        <w:r w:rsidR="000E3C7F" w:rsidRPr="000E3C7F">
          <w:rPr>
            <w:rFonts w:ascii="Arial" w:eastAsia="Times New Roman" w:hAnsi="Arial" w:cs="Arial"/>
            <w:color w:val="787F8A"/>
            <w:sz w:val="24"/>
            <w:szCs w:val="24"/>
            <w:u w:val="single"/>
          </w:rPr>
          <w:t>Financial Exigency</w:t>
        </w:r>
      </w:hyperlink>
    </w:p>
    <w:p w:rsidR="000E3C7F" w:rsidRPr="000E3C7F" w:rsidRDefault="004C4D69" w:rsidP="000E3C7F">
      <w:pPr>
        <w:numPr>
          <w:ilvl w:val="0"/>
          <w:numId w:val="6"/>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8" w:history="1">
        <w:r w:rsidR="000E3C7F" w:rsidRPr="000E3C7F">
          <w:rPr>
            <w:rFonts w:ascii="Arial" w:eastAsia="Times New Roman" w:hAnsi="Arial" w:cs="Arial"/>
            <w:color w:val="787F8A"/>
            <w:sz w:val="24"/>
            <w:szCs w:val="24"/>
            <w:u w:val="single"/>
          </w:rPr>
          <w:t>Faculty Appointments at Universities</w:t>
        </w:r>
      </w:hyperlink>
    </w:p>
    <w:p w:rsidR="00605A01" w:rsidRDefault="00605A01"/>
    <w:sectPr w:rsidR="00605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12AC"/>
    <w:multiLevelType w:val="multilevel"/>
    <w:tmpl w:val="165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A6BA4"/>
    <w:multiLevelType w:val="multilevel"/>
    <w:tmpl w:val="650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6689"/>
    <w:multiLevelType w:val="multilevel"/>
    <w:tmpl w:val="D4B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74F16"/>
    <w:multiLevelType w:val="multilevel"/>
    <w:tmpl w:val="898A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158E0"/>
    <w:multiLevelType w:val="multilevel"/>
    <w:tmpl w:val="9C14432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right"/>
      <w:pPr>
        <w:tabs>
          <w:tab w:val="num" w:pos="3600"/>
        </w:tabs>
        <w:ind w:left="3600" w:hanging="360"/>
      </w:pPr>
    </w:lvl>
    <w:lvl w:ilvl="5">
      <w:start w:val="1"/>
      <w:numFmt w:val="decimal"/>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EC5736F"/>
    <w:multiLevelType w:val="multilevel"/>
    <w:tmpl w:val="7072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7F"/>
    <w:rsid w:val="000E3C7F"/>
    <w:rsid w:val="00264C28"/>
    <w:rsid w:val="004C4D69"/>
    <w:rsid w:val="00605A01"/>
    <w:rsid w:val="008E45F4"/>
    <w:rsid w:val="00A24169"/>
    <w:rsid w:val="00DB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934"/>
  <w15:chartTrackingRefBased/>
  <w15:docId w15:val="{131C0B1D-78F1-414E-BC14-ACFF3F2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5006">
      <w:bodyDiv w:val="1"/>
      <w:marLeft w:val="0"/>
      <w:marRight w:val="0"/>
      <w:marTop w:val="0"/>
      <w:marBottom w:val="0"/>
      <w:divBdr>
        <w:top w:val="none" w:sz="0" w:space="0" w:color="auto"/>
        <w:left w:val="none" w:sz="0" w:space="0" w:color="auto"/>
        <w:bottom w:val="none" w:sz="0" w:space="0" w:color="auto"/>
        <w:right w:val="none" w:sz="0" w:space="0" w:color="auto"/>
      </w:divBdr>
      <w:divsChild>
        <w:div w:id="922565169">
          <w:marLeft w:val="0"/>
          <w:marRight w:val="0"/>
          <w:marTop w:val="0"/>
          <w:marBottom w:val="0"/>
          <w:divBdr>
            <w:top w:val="none" w:sz="0" w:space="0" w:color="auto"/>
            <w:left w:val="none" w:sz="0" w:space="0" w:color="auto"/>
            <w:bottom w:val="none" w:sz="0" w:space="0" w:color="auto"/>
            <w:right w:val="none" w:sz="0" w:space="0" w:color="auto"/>
          </w:divBdr>
        </w:div>
        <w:div w:id="1009941668">
          <w:marLeft w:val="0"/>
          <w:marRight w:val="0"/>
          <w:marTop w:val="0"/>
          <w:marBottom w:val="0"/>
          <w:divBdr>
            <w:top w:val="none" w:sz="0" w:space="0" w:color="auto"/>
            <w:left w:val="none" w:sz="0" w:space="0" w:color="auto"/>
            <w:bottom w:val="none" w:sz="0" w:space="0" w:color="auto"/>
            <w:right w:val="none" w:sz="0" w:space="0" w:color="auto"/>
          </w:divBdr>
          <w:divsChild>
            <w:div w:id="2063362787">
              <w:marLeft w:val="0"/>
              <w:marRight w:val="0"/>
              <w:marTop w:val="0"/>
              <w:marBottom w:val="0"/>
              <w:divBdr>
                <w:top w:val="none" w:sz="0" w:space="0" w:color="auto"/>
                <w:left w:val="none" w:sz="0" w:space="0" w:color="auto"/>
                <w:bottom w:val="none" w:sz="0" w:space="0" w:color="auto"/>
                <w:right w:val="none" w:sz="0" w:space="0" w:color="auto"/>
              </w:divBdr>
              <w:divsChild>
                <w:div w:id="432167905">
                  <w:marLeft w:val="0"/>
                  <w:marRight w:val="0"/>
                  <w:marTop w:val="0"/>
                  <w:marBottom w:val="0"/>
                  <w:divBdr>
                    <w:top w:val="none" w:sz="0" w:space="0" w:color="auto"/>
                    <w:left w:val="none" w:sz="0" w:space="0" w:color="auto"/>
                    <w:bottom w:val="none" w:sz="0" w:space="0" w:color="auto"/>
                    <w:right w:val="none" w:sz="0" w:space="0" w:color="auto"/>
                  </w:divBdr>
                  <w:divsChild>
                    <w:div w:id="69550412">
                      <w:marLeft w:val="0"/>
                      <w:marRight w:val="0"/>
                      <w:marTop w:val="0"/>
                      <w:marBottom w:val="0"/>
                      <w:divBdr>
                        <w:top w:val="none" w:sz="0" w:space="0" w:color="auto"/>
                        <w:left w:val="none" w:sz="0" w:space="0" w:color="auto"/>
                        <w:bottom w:val="none" w:sz="0" w:space="0" w:color="auto"/>
                        <w:right w:val="none" w:sz="0" w:space="0" w:color="auto"/>
                      </w:divBdr>
                      <w:divsChild>
                        <w:div w:id="1284387954">
                          <w:marLeft w:val="0"/>
                          <w:marRight w:val="0"/>
                          <w:marTop w:val="0"/>
                          <w:marBottom w:val="0"/>
                          <w:divBdr>
                            <w:top w:val="none" w:sz="0" w:space="0" w:color="auto"/>
                            <w:left w:val="none" w:sz="0" w:space="0" w:color="auto"/>
                            <w:bottom w:val="none" w:sz="0" w:space="0" w:color="auto"/>
                            <w:right w:val="none" w:sz="0" w:space="0" w:color="auto"/>
                          </w:divBdr>
                          <w:divsChild>
                            <w:div w:id="759906483">
                              <w:marLeft w:val="0"/>
                              <w:marRight w:val="0"/>
                              <w:marTop w:val="0"/>
                              <w:marBottom w:val="0"/>
                              <w:divBdr>
                                <w:top w:val="none" w:sz="0" w:space="0" w:color="auto"/>
                                <w:left w:val="none" w:sz="0" w:space="0" w:color="auto"/>
                                <w:bottom w:val="none" w:sz="0" w:space="0" w:color="auto"/>
                                <w:right w:val="none" w:sz="0" w:space="0" w:color="auto"/>
                              </w:divBdr>
                              <w:divsChild>
                                <w:div w:id="1980765418">
                                  <w:marLeft w:val="0"/>
                                  <w:marRight w:val="0"/>
                                  <w:marTop w:val="0"/>
                                  <w:marBottom w:val="240"/>
                                  <w:divBdr>
                                    <w:top w:val="none" w:sz="0" w:space="0" w:color="auto"/>
                                    <w:left w:val="none" w:sz="0" w:space="0" w:color="auto"/>
                                    <w:bottom w:val="single" w:sz="18" w:space="0" w:color="EAEAEA"/>
                                    <w:right w:val="none" w:sz="0" w:space="0" w:color="auto"/>
                                  </w:divBdr>
                                </w:div>
                                <w:div w:id="402918996">
                                  <w:marLeft w:val="0"/>
                                  <w:marRight w:val="0"/>
                                  <w:marTop w:val="0"/>
                                  <w:marBottom w:val="240"/>
                                  <w:divBdr>
                                    <w:top w:val="single" w:sz="6" w:space="0" w:color="CCCCCC"/>
                                    <w:left w:val="single" w:sz="6" w:space="0" w:color="CCCCCC"/>
                                    <w:bottom w:val="single" w:sz="6" w:space="0" w:color="CCCCCC"/>
                                    <w:right w:val="single" w:sz="6" w:space="0" w:color="CCCCCC"/>
                                  </w:divBdr>
                                  <w:divsChild>
                                    <w:div w:id="172916735">
                                      <w:marLeft w:val="0"/>
                                      <w:marRight w:val="0"/>
                                      <w:marTop w:val="0"/>
                                      <w:marBottom w:val="0"/>
                                      <w:divBdr>
                                        <w:top w:val="none" w:sz="0" w:space="0" w:color="auto"/>
                                        <w:left w:val="none" w:sz="0" w:space="0" w:color="auto"/>
                                        <w:bottom w:val="none" w:sz="0" w:space="0" w:color="auto"/>
                                        <w:right w:val="none" w:sz="0" w:space="0" w:color="auto"/>
                                      </w:divBdr>
                                      <w:divsChild>
                                        <w:div w:id="402220927">
                                          <w:marLeft w:val="0"/>
                                          <w:marRight w:val="0"/>
                                          <w:marTop w:val="0"/>
                                          <w:marBottom w:val="0"/>
                                          <w:divBdr>
                                            <w:top w:val="none" w:sz="0" w:space="0" w:color="auto"/>
                                            <w:left w:val="none" w:sz="0" w:space="0" w:color="auto"/>
                                            <w:bottom w:val="none" w:sz="0" w:space="0" w:color="auto"/>
                                            <w:right w:val="none" w:sz="0" w:space="0" w:color="auto"/>
                                          </w:divBdr>
                                          <w:divsChild>
                                            <w:div w:id="1722287115">
                                              <w:marLeft w:val="0"/>
                                              <w:marRight w:val="0"/>
                                              <w:marTop w:val="0"/>
                                              <w:marBottom w:val="150"/>
                                              <w:divBdr>
                                                <w:top w:val="none" w:sz="0" w:space="0" w:color="auto"/>
                                                <w:left w:val="none" w:sz="0" w:space="0" w:color="auto"/>
                                                <w:bottom w:val="none" w:sz="0" w:space="0" w:color="auto"/>
                                                <w:right w:val="none" w:sz="0" w:space="0" w:color="auto"/>
                                              </w:divBdr>
                                            </w:div>
                                          </w:divsChild>
                                        </w:div>
                                        <w:div w:id="662778797">
                                          <w:marLeft w:val="0"/>
                                          <w:marRight w:val="0"/>
                                          <w:marTop w:val="0"/>
                                          <w:marBottom w:val="0"/>
                                          <w:divBdr>
                                            <w:top w:val="none" w:sz="0" w:space="0" w:color="auto"/>
                                            <w:left w:val="none" w:sz="0" w:space="0" w:color="auto"/>
                                            <w:bottom w:val="none" w:sz="0" w:space="0" w:color="auto"/>
                                            <w:right w:val="none" w:sz="0" w:space="0" w:color="auto"/>
                                          </w:divBdr>
                                          <w:divsChild>
                                            <w:div w:id="1597443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08832172">
                              <w:marLeft w:val="0"/>
                              <w:marRight w:val="0"/>
                              <w:marTop w:val="0"/>
                              <w:marBottom w:val="240"/>
                              <w:divBdr>
                                <w:top w:val="none" w:sz="0" w:space="0" w:color="auto"/>
                                <w:left w:val="none" w:sz="0" w:space="0" w:color="auto"/>
                                <w:bottom w:val="single" w:sz="18" w:space="0" w:color="EAEAEA"/>
                                <w:right w:val="none" w:sz="0" w:space="0" w:color="auto"/>
                              </w:divBdr>
                            </w:div>
                            <w:div w:id="788477207">
                              <w:marLeft w:val="0"/>
                              <w:marRight w:val="0"/>
                              <w:marTop w:val="0"/>
                              <w:marBottom w:val="240"/>
                              <w:divBdr>
                                <w:top w:val="none" w:sz="0" w:space="0" w:color="auto"/>
                                <w:left w:val="none" w:sz="0" w:space="0" w:color="auto"/>
                                <w:bottom w:val="single" w:sz="18" w:space="0" w:color="EAEAEA"/>
                                <w:right w:val="none" w:sz="0" w:space="0" w:color="auto"/>
                              </w:divBdr>
                            </w:div>
                            <w:div w:id="1021249556">
                              <w:marLeft w:val="0"/>
                              <w:marRight w:val="0"/>
                              <w:marTop w:val="0"/>
                              <w:marBottom w:val="240"/>
                              <w:divBdr>
                                <w:top w:val="none" w:sz="0" w:space="0" w:color="auto"/>
                                <w:left w:val="none" w:sz="0" w:space="0" w:color="auto"/>
                                <w:bottom w:val="single" w:sz="18" w:space="0" w:color="EAEAEA"/>
                                <w:right w:val="none" w:sz="0" w:space="0" w:color="auto"/>
                              </w:divBdr>
                            </w:div>
                            <w:div w:id="71435459">
                              <w:marLeft w:val="0"/>
                              <w:marRight w:val="0"/>
                              <w:marTop w:val="0"/>
                              <w:marBottom w:val="240"/>
                              <w:divBdr>
                                <w:top w:val="none" w:sz="0" w:space="0" w:color="auto"/>
                                <w:left w:val="none" w:sz="0" w:space="0" w:color="auto"/>
                                <w:bottom w:val="single" w:sz="18" w:space="0" w:color="EAEAEA"/>
                                <w:right w:val="none" w:sz="0" w:space="0" w:color="auto"/>
                              </w:divBdr>
                            </w:div>
                            <w:div w:id="534197347">
                              <w:marLeft w:val="0"/>
                              <w:marRight w:val="0"/>
                              <w:marTop w:val="0"/>
                              <w:marBottom w:val="0"/>
                              <w:divBdr>
                                <w:top w:val="none" w:sz="0" w:space="0" w:color="auto"/>
                                <w:left w:val="none" w:sz="0" w:space="0" w:color="auto"/>
                                <w:bottom w:val="none" w:sz="0" w:space="0" w:color="auto"/>
                                <w:right w:val="none" w:sz="0" w:space="0" w:color="auto"/>
                              </w:divBdr>
                              <w:divsChild>
                                <w:div w:id="279386316">
                                  <w:marLeft w:val="0"/>
                                  <w:marRight w:val="0"/>
                                  <w:marTop w:val="0"/>
                                  <w:marBottom w:val="240"/>
                                  <w:divBdr>
                                    <w:top w:val="none" w:sz="0" w:space="0" w:color="auto"/>
                                    <w:left w:val="none" w:sz="0" w:space="0" w:color="auto"/>
                                    <w:bottom w:val="single" w:sz="18" w:space="0" w:color="EAEAEA"/>
                                    <w:right w:val="none" w:sz="0" w:space="0" w:color="auto"/>
                                  </w:divBdr>
                                </w:div>
                              </w:divsChild>
                            </w:div>
                            <w:div w:id="1268153645">
                              <w:marLeft w:val="0"/>
                              <w:marRight w:val="0"/>
                              <w:marTop w:val="0"/>
                              <w:marBottom w:val="240"/>
                              <w:divBdr>
                                <w:top w:val="none" w:sz="0" w:space="0" w:color="auto"/>
                                <w:left w:val="none" w:sz="0" w:space="0" w:color="auto"/>
                                <w:bottom w:val="single" w:sz="18" w:space="0" w:color="EAEAEA"/>
                                <w:right w:val="none" w:sz="0" w:space="0" w:color="auto"/>
                              </w:divBdr>
                            </w:div>
                            <w:div w:id="1411540940">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tbr.edu/policies/faculty-appointments-universities" TargetMode="External"/><Relationship Id="rId3" Type="http://schemas.openxmlformats.org/officeDocument/2006/relationships/settings" Target="settings.xml"/><Relationship Id="rId7" Type="http://schemas.openxmlformats.org/officeDocument/2006/relationships/hyperlink" Target="https://policies.tbr.edu/policies/financial-exi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tbr.edu/policies/faculty-promotion-universities" TargetMode="External"/><Relationship Id="rId5" Type="http://schemas.openxmlformats.org/officeDocument/2006/relationships/hyperlink" Target="https://policies.tbr.edu/policies/appeals-and-appearances-boa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6860</Words>
  <Characters>39106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Sheen</dc:creator>
  <cp:keywords/>
  <dc:description/>
  <cp:lastModifiedBy>McCutcheon, Cordia</cp:lastModifiedBy>
  <cp:revision>2</cp:revision>
  <dcterms:created xsi:type="dcterms:W3CDTF">2020-05-12T20:00:00Z</dcterms:created>
  <dcterms:modified xsi:type="dcterms:W3CDTF">2020-05-12T20:00:00Z</dcterms:modified>
</cp:coreProperties>
</file>