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BD1" w:rsidRPr="00E05BD1" w:rsidRDefault="00E05BD1" w:rsidP="00E05BD1">
      <w:pPr>
        <w:shd w:val="clear" w:color="auto" w:fill="FFFFFF"/>
        <w:spacing w:after="150" w:line="600" w:lineRule="atLeast"/>
        <w:outlineLvl w:val="0"/>
        <w:rPr>
          <w:rFonts w:ascii="inherit" w:eastAsia="Times New Roman" w:hAnsi="inherit" w:cs="Arial"/>
          <w:b/>
          <w:bCs/>
          <w:color w:val="344051"/>
          <w:kern w:val="36"/>
          <w:sz w:val="45"/>
          <w:szCs w:val="45"/>
        </w:rPr>
      </w:pPr>
      <w:r w:rsidRPr="00E05BD1">
        <w:rPr>
          <w:rFonts w:ascii="inherit" w:eastAsia="Times New Roman" w:hAnsi="inherit" w:cs="Arial"/>
          <w:b/>
          <w:bCs/>
          <w:color w:val="344051"/>
          <w:kern w:val="36"/>
          <w:sz w:val="45"/>
          <w:szCs w:val="45"/>
        </w:rPr>
        <w:t>Faculty Promotion at Universities: 5:02:02:20</w:t>
      </w:r>
    </w:p>
    <w:p w:rsidR="00E05BD1" w:rsidRPr="00E05BD1" w:rsidRDefault="00E05BD1" w:rsidP="00E05BD1">
      <w:pPr>
        <w:pBdr>
          <w:bottom w:val="single" w:sz="6" w:space="0" w:color="EAEAEA"/>
        </w:pBdr>
        <w:shd w:val="clear" w:color="auto" w:fill="FFFFFF"/>
        <w:spacing w:line="240" w:lineRule="auto"/>
        <w:outlineLvl w:val="1"/>
        <w:rPr>
          <w:rFonts w:ascii="inherit" w:eastAsia="Times New Roman" w:hAnsi="inherit" w:cs="Arial"/>
          <w:b/>
          <w:bCs/>
          <w:color w:val="344051"/>
          <w:sz w:val="29"/>
          <w:szCs w:val="29"/>
        </w:rPr>
      </w:pPr>
      <w:bookmarkStart w:id="0" w:name="_GoBack"/>
      <w:bookmarkEnd w:id="0"/>
      <w:r w:rsidRPr="00E05BD1">
        <w:rPr>
          <w:rFonts w:ascii="inherit" w:eastAsia="Times New Roman" w:hAnsi="inherit" w:cs="Arial"/>
          <w:b/>
          <w:bCs/>
          <w:color w:val="344051"/>
          <w:sz w:val="29"/>
          <w:szCs w:val="29"/>
        </w:rPr>
        <w:t>Policy Area</w:t>
      </w:r>
    </w:p>
    <w:p w:rsidR="00E05BD1" w:rsidRPr="00E05BD1" w:rsidRDefault="00E05BD1" w:rsidP="00E05BD1">
      <w:pPr>
        <w:shd w:val="clear" w:color="auto" w:fill="FFFFFF"/>
        <w:spacing w:after="0" w:line="450" w:lineRule="atLeast"/>
        <w:rPr>
          <w:rFonts w:ascii="Arial" w:eastAsia="Times New Roman" w:hAnsi="Arial" w:cs="Arial"/>
          <w:color w:val="344051"/>
          <w:sz w:val="24"/>
          <w:szCs w:val="24"/>
        </w:rPr>
      </w:pPr>
      <w:r w:rsidRPr="00E05BD1">
        <w:rPr>
          <w:rFonts w:ascii="Arial" w:eastAsia="Times New Roman" w:hAnsi="Arial" w:cs="Arial"/>
          <w:color w:val="344051"/>
          <w:sz w:val="24"/>
          <w:szCs w:val="24"/>
        </w:rPr>
        <w:t>Personnel Policies</w:t>
      </w:r>
    </w:p>
    <w:p w:rsidR="00E05BD1" w:rsidRPr="00E05BD1" w:rsidRDefault="00E05BD1" w:rsidP="00E05BD1">
      <w:pPr>
        <w:pBdr>
          <w:bottom w:val="single" w:sz="6" w:space="0" w:color="EAEAEA"/>
        </w:pBdr>
        <w:shd w:val="clear" w:color="auto" w:fill="FFFFFF"/>
        <w:spacing w:line="240" w:lineRule="auto"/>
        <w:outlineLvl w:val="1"/>
        <w:rPr>
          <w:rFonts w:ascii="inherit" w:eastAsia="Times New Roman" w:hAnsi="inherit" w:cs="Arial"/>
          <w:b/>
          <w:bCs/>
          <w:color w:val="344051"/>
          <w:sz w:val="29"/>
          <w:szCs w:val="29"/>
        </w:rPr>
      </w:pPr>
      <w:r w:rsidRPr="00E05BD1">
        <w:rPr>
          <w:rFonts w:ascii="inherit" w:eastAsia="Times New Roman" w:hAnsi="inherit" w:cs="Arial"/>
          <w:b/>
          <w:bCs/>
          <w:color w:val="344051"/>
          <w:sz w:val="29"/>
          <w:szCs w:val="29"/>
        </w:rPr>
        <w:t>Applicable Divisions</w:t>
      </w:r>
    </w:p>
    <w:p w:rsidR="00E05BD1" w:rsidRPr="00E05BD1" w:rsidRDefault="00E05BD1" w:rsidP="00E05BD1">
      <w:pPr>
        <w:shd w:val="clear" w:color="auto" w:fill="FFFFFF"/>
        <w:spacing w:after="0" w:line="450" w:lineRule="atLeast"/>
        <w:rPr>
          <w:rFonts w:ascii="Arial" w:eastAsia="Times New Roman" w:hAnsi="Arial" w:cs="Arial"/>
          <w:color w:val="344051"/>
          <w:sz w:val="24"/>
          <w:szCs w:val="24"/>
        </w:rPr>
      </w:pPr>
      <w:r w:rsidRPr="00E05BD1">
        <w:rPr>
          <w:rFonts w:ascii="Arial" w:eastAsia="Times New Roman" w:hAnsi="Arial" w:cs="Arial"/>
          <w:color w:val="344051"/>
          <w:sz w:val="24"/>
          <w:szCs w:val="24"/>
        </w:rPr>
        <w:t>Universities</w:t>
      </w:r>
    </w:p>
    <w:p w:rsidR="00E05BD1" w:rsidRPr="00E05BD1" w:rsidRDefault="00E05BD1" w:rsidP="00E05BD1">
      <w:pPr>
        <w:pBdr>
          <w:bottom w:val="single" w:sz="6" w:space="0" w:color="EAEAEA"/>
        </w:pBdr>
        <w:shd w:val="clear" w:color="auto" w:fill="FFFFFF"/>
        <w:spacing w:line="240" w:lineRule="auto"/>
        <w:outlineLvl w:val="1"/>
        <w:rPr>
          <w:rFonts w:ascii="inherit" w:eastAsia="Times New Roman" w:hAnsi="inherit" w:cs="Arial"/>
          <w:b/>
          <w:bCs/>
          <w:color w:val="344051"/>
          <w:sz w:val="29"/>
          <w:szCs w:val="29"/>
        </w:rPr>
      </w:pPr>
      <w:bookmarkStart w:id="1" w:name="purpose"/>
      <w:bookmarkEnd w:id="1"/>
      <w:r w:rsidRPr="00E05BD1">
        <w:rPr>
          <w:rFonts w:ascii="inherit" w:eastAsia="Times New Roman" w:hAnsi="inherit" w:cs="Arial"/>
          <w:b/>
          <w:bCs/>
          <w:color w:val="344051"/>
          <w:sz w:val="29"/>
          <w:szCs w:val="29"/>
        </w:rPr>
        <w:t>Purpose</w:t>
      </w:r>
    </w:p>
    <w:p w:rsidR="00E05BD1" w:rsidRPr="00E05BD1" w:rsidRDefault="00E05BD1" w:rsidP="00E05BD1">
      <w:pPr>
        <w:shd w:val="clear" w:color="auto" w:fill="FFFFFF"/>
        <w:spacing w:after="240" w:line="450" w:lineRule="atLeast"/>
        <w:rPr>
          <w:rFonts w:ascii="Arial" w:eastAsia="Times New Roman" w:hAnsi="Arial" w:cs="Arial"/>
          <w:color w:val="344051"/>
          <w:sz w:val="24"/>
          <w:szCs w:val="24"/>
        </w:rPr>
      </w:pPr>
      <w:r w:rsidRPr="00E05BD1">
        <w:rPr>
          <w:rFonts w:ascii="Arial" w:eastAsia="Times New Roman" w:hAnsi="Arial" w:cs="Arial"/>
          <w:color w:val="344051"/>
          <w:sz w:val="24"/>
          <w:szCs w:val="24"/>
        </w:rPr>
        <w:t>Promotion in rank is recognition of past achievement of the individual being considered for promotion. In addition, the advancement in rank is recognition of future potential and a sign of confidence that the individual is capable of even greater accomplishments and of assuming greater responsibilities. The policy of the Tennessee Board of Regents is to make promotions strictly on consideration of merit tempered by university and fiscal considerations. The purpose of this policy is to help ensure that promotions are made objectively, equitably, impartially, and as a recognition of merit in line with the following policy guidelines.</w:t>
      </w:r>
    </w:p>
    <w:p w:rsidR="00E05BD1" w:rsidRPr="00E05BD1" w:rsidRDefault="00E05BD1" w:rsidP="00E05BD1">
      <w:pPr>
        <w:pBdr>
          <w:bottom w:val="single" w:sz="6" w:space="0" w:color="EAEAEA"/>
        </w:pBdr>
        <w:shd w:val="clear" w:color="auto" w:fill="FFFFFF"/>
        <w:spacing w:line="240" w:lineRule="auto"/>
        <w:outlineLvl w:val="1"/>
        <w:rPr>
          <w:rFonts w:ascii="inherit" w:eastAsia="Times New Roman" w:hAnsi="inherit" w:cs="Arial"/>
          <w:b/>
          <w:bCs/>
          <w:color w:val="344051"/>
          <w:sz w:val="29"/>
          <w:szCs w:val="29"/>
        </w:rPr>
      </w:pPr>
      <w:bookmarkStart w:id="2" w:name="definitions"/>
      <w:bookmarkEnd w:id="2"/>
      <w:r w:rsidRPr="00E05BD1">
        <w:rPr>
          <w:rFonts w:ascii="inherit" w:eastAsia="Times New Roman" w:hAnsi="inherit" w:cs="Arial"/>
          <w:b/>
          <w:bCs/>
          <w:color w:val="344051"/>
          <w:sz w:val="29"/>
          <w:szCs w:val="29"/>
        </w:rPr>
        <w:t>Definitions</w:t>
      </w:r>
    </w:p>
    <w:p w:rsidR="00E05BD1" w:rsidRPr="00E05BD1" w:rsidRDefault="00E05BD1" w:rsidP="00E05BD1">
      <w:pPr>
        <w:shd w:val="clear" w:color="auto" w:fill="FFFFFF"/>
        <w:spacing w:after="240" w:line="450" w:lineRule="atLeast"/>
        <w:rPr>
          <w:rFonts w:ascii="Arial" w:eastAsia="Times New Roman" w:hAnsi="Arial" w:cs="Arial"/>
          <w:color w:val="344051"/>
          <w:sz w:val="24"/>
          <w:szCs w:val="24"/>
        </w:rPr>
      </w:pPr>
      <w:r w:rsidRPr="00E05BD1">
        <w:rPr>
          <w:rFonts w:ascii="Arial" w:eastAsia="Times New Roman" w:hAnsi="Arial" w:cs="Arial"/>
          <w:color w:val="344051"/>
          <w:sz w:val="24"/>
          <w:szCs w:val="24"/>
        </w:rPr>
        <w:t>For the purposes of this policy, research/scholarship/creative activities and service/outreach will be defined as follows.</w:t>
      </w:r>
    </w:p>
    <w:p w:rsidR="00E05BD1" w:rsidRPr="00E05BD1" w:rsidRDefault="00E05BD1" w:rsidP="00E05BD1">
      <w:pPr>
        <w:numPr>
          <w:ilvl w:val="0"/>
          <w:numId w:val="4"/>
        </w:numPr>
        <w:shd w:val="clear" w:color="auto" w:fill="FFFFFF"/>
        <w:spacing w:before="100" w:beforeAutospacing="1" w:after="100" w:afterAutospacing="1" w:line="450" w:lineRule="atLeast"/>
        <w:ind w:left="375"/>
        <w:rPr>
          <w:rFonts w:ascii="Arial" w:eastAsia="Times New Roman" w:hAnsi="Arial" w:cs="Arial"/>
          <w:color w:val="344051"/>
          <w:sz w:val="24"/>
          <w:szCs w:val="24"/>
        </w:rPr>
      </w:pPr>
      <w:r w:rsidRPr="00E05BD1">
        <w:rPr>
          <w:rFonts w:ascii="Arial" w:eastAsia="Times New Roman" w:hAnsi="Arial" w:cs="Arial"/>
          <w:color w:val="344051"/>
          <w:sz w:val="24"/>
          <w:szCs w:val="24"/>
        </w:rPr>
        <w:t>Teaching - Teaching applies to any strategy in which information is imparted so that others may learn, and may include, but is not limited to, a variety of techniques including instruction, student advising and/or mentoring, development of course materials and courseware, and development of innovative approaches to instruction.</w:t>
      </w:r>
    </w:p>
    <w:p w:rsidR="00E05BD1" w:rsidRPr="00E05BD1" w:rsidRDefault="00E05BD1" w:rsidP="00E05BD1">
      <w:pPr>
        <w:numPr>
          <w:ilvl w:val="0"/>
          <w:numId w:val="4"/>
        </w:numPr>
        <w:shd w:val="clear" w:color="auto" w:fill="FFFFFF"/>
        <w:spacing w:before="100" w:beforeAutospacing="1" w:after="100" w:afterAutospacing="1" w:line="450" w:lineRule="atLeast"/>
        <w:ind w:left="375"/>
        <w:rPr>
          <w:rFonts w:ascii="Arial" w:eastAsia="Times New Roman" w:hAnsi="Arial" w:cs="Arial"/>
          <w:color w:val="344051"/>
          <w:sz w:val="24"/>
          <w:szCs w:val="24"/>
        </w:rPr>
      </w:pPr>
      <w:r w:rsidRPr="00E05BD1">
        <w:rPr>
          <w:rFonts w:ascii="Arial" w:eastAsia="Times New Roman" w:hAnsi="Arial" w:cs="Arial"/>
          <w:color w:val="344051"/>
          <w:sz w:val="24"/>
          <w:szCs w:val="24"/>
        </w:rPr>
        <w:t xml:space="preserve">Research/Scholarship/Creative Activities - Research applies to the studious inquiry, examination, or discovery that contributes to disciplinary and interdisciplinary bodies of knowledge.  Research/scholarship/creative activities may include, but are not limited to, disciplinary and interdisciplinary activities that focus on the boundaries of knowledge, field-based scholarship, creative activities (e.g., film-making, </w:t>
      </w:r>
      <w:r w:rsidRPr="00E05BD1">
        <w:rPr>
          <w:rFonts w:ascii="Arial" w:eastAsia="Times New Roman" w:hAnsi="Arial" w:cs="Arial"/>
          <w:color w:val="344051"/>
          <w:sz w:val="24"/>
          <w:szCs w:val="24"/>
        </w:rPr>
        <w:lastRenderedPageBreak/>
        <w:t>performances, or other artistic creations), and the development of cutting-edge teaching approaches.</w:t>
      </w:r>
    </w:p>
    <w:p w:rsidR="00E05BD1" w:rsidRPr="00E05BD1" w:rsidRDefault="00E05BD1" w:rsidP="00E05BD1">
      <w:pPr>
        <w:numPr>
          <w:ilvl w:val="0"/>
          <w:numId w:val="4"/>
        </w:numPr>
        <w:shd w:val="clear" w:color="auto" w:fill="FFFFFF"/>
        <w:spacing w:before="100" w:beforeAutospacing="1" w:after="100" w:afterAutospacing="1" w:line="450" w:lineRule="atLeast"/>
        <w:ind w:left="375"/>
        <w:rPr>
          <w:rFonts w:ascii="Arial" w:eastAsia="Times New Roman" w:hAnsi="Arial" w:cs="Arial"/>
          <w:color w:val="344051"/>
          <w:sz w:val="24"/>
          <w:szCs w:val="24"/>
        </w:rPr>
      </w:pPr>
      <w:r w:rsidRPr="00E05BD1">
        <w:rPr>
          <w:rFonts w:ascii="Arial" w:eastAsia="Times New Roman" w:hAnsi="Arial" w:cs="Arial"/>
          <w:color w:val="344051"/>
          <w:sz w:val="24"/>
          <w:szCs w:val="24"/>
        </w:rPr>
        <w:t>Service/Outreach - Service applies to involvement within the community as defined by the university’s role and mission; service to the university; and service within the bounds of the applicant’s academic discipline and budgeted assignment.</w:t>
      </w:r>
    </w:p>
    <w:p w:rsidR="00E05BD1" w:rsidRPr="00E05BD1" w:rsidRDefault="00E05BD1" w:rsidP="00E05BD1">
      <w:pPr>
        <w:shd w:val="clear" w:color="auto" w:fill="FFFFFF"/>
        <w:spacing w:after="240" w:line="450" w:lineRule="atLeast"/>
        <w:rPr>
          <w:rFonts w:ascii="Arial" w:eastAsia="Times New Roman" w:hAnsi="Arial" w:cs="Arial"/>
          <w:color w:val="344051"/>
          <w:sz w:val="24"/>
          <w:szCs w:val="24"/>
        </w:rPr>
      </w:pPr>
      <w:r w:rsidRPr="00E05BD1">
        <w:rPr>
          <w:rFonts w:ascii="Arial" w:eastAsia="Times New Roman" w:hAnsi="Arial" w:cs="Arial"/>
          <w:color w:val="344051"/>
          <w:sz w:val="24"/>
          <w:szCs w:val="24"/>
        </w:rPr>
        <w:t>A more detailed description of these activities and the criteria to be applied in assessing performance in these three areas may be found in Sections IV and VII of Policy No. 5:02:03:60, "Policy on Academic Tenure for the Tennessee Board of Regents Universities."</w:t>
      </w:r>
    </w:p>
    <w:p w:rsidR="00E05BD1" w:rsidRPr="00E05BD1" w:rsidRDefault="00E05BD1" w:rsidP="00E05BD1">
      <w:pPr>
        <w:pBdr>
          <w:bottom w:val="single" w:sz="6" w:space="0" w:color="EAEAEA"/>
        </w:pBdr>
        <w:shd w:val="clear" w:color="auto" w:fill="FFFFFF"/>
        <w:spacing w:line="240" w:lineRule="auto"/>
        <w:outlineLvl w:val="1"/>
        <w:rPr>
          <w:rFonts w:ascii="inherit" w:eastAsia="Times New Roman" w:hAnsi="inherit" w:cs="Arial"/>
          <w:b/>
          <w:bCs/>
          <w:color w:val="344051"/>
          <w:sz w:val="29"/>
          <w:szCs w:val="29"/>
        </w:rPr>
      </w:pPr>
      <w:r w:rsidRPr="00E05BD1">
        <w:rPr>
          <w:rFonts w:ascii="inherit" w:eastAsia="Times New Roman" w:hAnsi="inherit" w:cs="Arial"/>
          <w:b/>
          <w:bCs/>
          <w:color w:val="344051"/>
          <w:sz w:val="29"/>
          <w:szCs w:val="29"/>
        </w:rPr>
        <w:t>Policy</w:t>
      </w:r>
    </w:p>
    <w:p w:rsidR="00E05BD1" w:rsidRPr="00E05BD1" w:rsidRDefault="00E05BD1" w:rsidP="00E05BD1">
      <w:pPr>
        <w:numPr>
          <w:ilvl w:val="0"/>
          <w:numId w:val="5"/>
        </w:numPr>
        <w:shd w:val="clear" w:color="auto" w:fill="FFFFFF"/>
        <w:spacing w:before="100" w:beforeAutospacing="1" w:after="100" w:afterAutospacing="1" w:line="450" w:lineRule="atLeast"/>
        <w:ind w:left="375"/>
        <w:rPr>
          <w:rFonts w:ascii="Arial" w:eastAsia="Times New Roman" w:hAnsi="Arial" w:cs="Arial"/>
          <w:color w:val="344051"/>
          <w:sz w:val="24"/>
          <w:szCs w:val="24"/>
        </w:rPr>
      </w:pPr>
      <w:bookmarkStart w:id="3" w:name="Introduction"/>
      <w:r w:rsidRPr="00E05BD1">
        <w:rPr>
          <w:rFonts w:ascii="Arial" w:eastAsia="Times New Roman" w:hAnsi="Arial" w:cs="Arial"/>
          <w:color w:val="787F8A"/>
          <w:sz w:val="24"/>
          <w:szCs w:val="24"/>
        </w:rPr>
        <w:t>Introduction</w:t>
      </w:r>
      <w:bookmarkEnd w:id="3"/>
    </w:p>
    <w:p w:rsidR="00E05BD1" w:rsidRPr="00E05BD1" w:rsidRDefault="00E05BD1" w:rsidP="00E05BD1">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E05BD1">
        <w:rPr>
          <w:rFonts w:ascii="Arial" w:eastAsia="Times New Roman" w:hAnsi="Arial" w:cs="Arial"/>
          <w:color w:val="344051"/>
          <w:sz w:val="24"/>
          <w:szCs w:val="24"/>
        </w:rPr>
        <w:t>The president of each university is responsible for the master staffing plan of the university.</w:t>
      </w:r>
    </w:p>
    <w:p w:rsidR="00E05BD1" w:rsidRPr="00E05BD1" w:rsidRDefault="00E05BD1" w:rsidP="00E05BD1">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E05BD1">
        <w:rPr>
          <w:rFonts w:ascii="Arial" w:eastAsia="Times New Roman" w:hAnsi="Arial" w:cs="Arial"/>
          <w:color w:val="344051"/>
          <w:sz w:val="24"/>
          <w:szCs w:val="24"/>
        </w:rPr>
        <w:t>In developing such a plan, the president will consider the fiscal impact of each promotion recommended to the Board; i.e., resources allocated and distributed to the university.</w:t>
      </w:r>
    </w:p>
    <w:p w:rsidR="00E05BD1" w:rsidRPr="00E05BD1" w:rsidRDefault="00E05BD1" w:rsidP="00E05BD1">
      <w:pPr>
        <w:numPr>
          <w:ilvl w:val="0"/>
          <w:numId w:val="5"/>
        </w:numPr>
        <w:shd w:val="clear" w:color="auto" w:fill="FFFFFF"/>
        <w:spacing w:before="100" w:beforeAutospacing="1" w:after="100" w:afterAutospacing="1" w:line="450" w:lineRule="atLeast"/>
        <w:ind w:left="375"/>
        <w:rPr>
          <w:rFonts w:ascii="Arial" w:eastAsia="Times New Roman" w:hAnsi="Arial" w:cs="Arial"/>
          <w:color w:val="344051"/>
          <w:sz w:val="24"/>
          <w:szCs w:val="24"/>
        </w:rPr>
      </w:pPr>
      <w:bookmarkStart w:id="4" w:name="The-Evaluation-Process"/>
      <w:r w:rsidRPr="00E05BD1">
        <w:rPr>
          <w:rFonts w:ascii="Arial" w:eastAsia="Times New Roman" w:hAnsi="Arial" w:cs="Arial"/>
          <w:color w:val="787F8A"/>
          <w:sz w:val="24"/>
          <w:szCs w:val="24"/>
        </w:rPr>
        <w:t>The Evaluation Process</w:t>
      </w:r>
      <w:bookmarkEnd w:id="4"/>
    </w:p>
    <w:p w:rsidR="00E05BD1" w:rsidRPr="00E05BD1" w:rsidRDefault="00E05BD1" w:rsidP="00E05BD1">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E05BD1">
        <w:rPr>
          <w:rFonts w:ascii="Arial" w:eastAsia="Times New Roman" w:hAnsi="Arial" w:cs="Arial"/>
          <w:color w:val="344051"/>
          <w:sz w:val="24"/>
          <w:szCs w:val="24"/>
        </w:rPr>
        <w:t>The guidelines which follow provide a general plan for documenting the evaluation process for promotion at each university.</w:t>
      </w:r>
    </w:p>
    <w:p w:rsidR="00E05BD1" w:rsidRPr="00E05BD1" w:rsidRDefault="00E05BD1" w:rsidP="00E05BD1">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E05BD1">
        <w:rPr>
          <w:rFonts w:ascii="Arial" w:eastAsia="Times New Roman" w:hAnsi="Arial" w:cs="Arial"/>
          <w:color w:val="344051"/>
          <w:sz w:val="24"/>
          <w:szCs w:val="24"/>
        </w:rPr>
        <w:t>However, each university must develop specific promotion criteria which all units of that university will follow.</w:t>
      </w:r>
    </w:p>
    <w:p w:rsidR="00E05BD1" w:rsidRPr="00E05BD1" w:rsidRDefault="00E05BD1" w:rsidP="00E05BD1">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E05BD1">
        <w:rPr>
          <w:rFonts w:ascii="Arial" w:eastAsia="Times New Roman" w:hAnsi="Arial" w:cs="Arial"/>
          <w:color w:val="344051"/>
          <w:sz w:val="24"/>
          <w:szCs w:val="24"/>
        </w:rPr>
        <w:t>The university’s policy must, at a minimum, satisfy the criteria established by these general System guidelines, but may also be more rigorous than the criteria stated herein.</w:t>
      </w:r>
    </w:p>
    <w:p w:rsidR="00E05BD1" w:rsidRPr="00E05BD1" w:rsidRDefault="00E05BD1" w:rsidP="00E05BD1">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E05BD1">
        <w:rPr>
          <w:rFonts w:ascii="Arial" w:eastAsia="Times New Roman" w:hAnsi="Arial" w:cs="Arial"/>
          <w:color w:val="344051"/>
          <w:sz w:val="24"/>
          <w:szCs w:val="24"/>
        </w:rPr>
        <w:t xml:space="preserve">The policy should be written to distinguish between functional areas of instruction, research/scholarship/creative activities and service/outreach and </w:t>
      </w:r>
      <w:r w:rsidRPr="00E05BD1">
        <w:rPr>
          <w:rFonts w:ascii="Arial" w:eastAsia="Times New Roman" w:hAnsi="Arial" w:cs="Arial"/>
          <w:color w:val="344051"/>
          <w:sz w:val="24"/>
          <w:szCs w:val="24"/>
        </w:rPr>
        <w:lastRenderedPageBreak/>
        <w:t>should contain sections that clearly outline promotional procedures, as well as opportunities for appeal of negative decisions.</w:t>
      </w:r>
    </w:p>
    <w:p w:rsidR="00E05BD1" w:rsidRPr="00E05BD1" w:rsidRDefault="00E05BD1" w:rsidP="00E05BD1">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E05BD1">
        <w:rPr>
          <w:rFonts w:ascii="Arial" w:eastAsia="Times New Roman" w:hAnsi="Arial" w:cs="Arial"/>
          <w:color w:val="344051"/>
          <w:sz w:val="24"/>
          <w:szCs w:val="24"/>
        </w:rPr>
        <w:t>Once the university has developed its policy complete with process and appellate procedures, it must be forwarded to the Tennessee Board of Regents for review and approval.</w:t>
      </w:r>
    </w:p>
    <w:p w:rsidR="00E05BD1" w:rsidRPr="00E05BD1" w:rsidRDefault="00E05BD1" w:rsidP="00E05BD1">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E05BD1">
        <w:rPr>
          <w:rFonts w:ascii="Arial" w:eastAsia="Times New Roman" w:hAnsi="Arial" w:cs="Arial"/>
          <w:color w:val="344051"/>
          <w:sz w:val="24"/>
          <w:szCs w:val="24"/>
        </w:rPr>
        <w:t>The university’s promotion policy will be submitted via the Chancellor to the Committee on Personnel of the Board for review and recommended action.</w:t>
      </w:r>
    </w:p>
    <w:p w:rsidR="00E05BD1" w:rsidRPr="00E05BD1" w:rsidRDefault="00E05BD1" w:rsidP="00E05BD1">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E05BD1">
        <w:rPr>
          <w:rFonts w:ascii="Arial" w:eastAsia="Times New Roman" w:hAnsi="Arial" w:cs="Arial"/>
          <w:color w:val="344051"/>
          <w:sz w:val="24"/>
          <w:szCs w:val="24"/>
        </w:rPr>
        <w:t>From the Committee, the university’s policy will be referred to the Board for appropriate action.</w:t>
      </w:r>
    </w:p>
    <w:p w:rsidR="00E05BD1" w:rsidRPr="00E05BD1" w:rsidRDefault="00E05BD1" w:rsidP="00E05BD1">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E05BD1">
        <w:rPr>
          <w:rFonts w:ascii="Arial" w:eastAsia="Times New Roman" w:hAnsi="Arial" w:cs="Arial"/>
          <w:color w:val="344051"/>
          <w:sz w:val="24"/>
          <w:szCs w:val="24"/>
        </w:rPr>
        <w:t>Upon Board approval, the university policy becomes a part of Board of Regents Policy.</w:t>
      </w:r>
    </w:p>
    <w:p w:rsidR="00E05BD1" w:rsidRPr="00E05BD1" w:rsidRDefault="00E05BD1" w:rsidP="00E05BD1">
      <w:pPr>
        <w:numPr>
          <w:ilvl w:val="0"/>
          <w:numId w:val="5"/>
        </w:numPr>
        <w:shd w:val="clear" w:color="auto" w:fill="FFFFFF"/>
        <w:spacing w:before="100" w:beforeAutospacing="1" w:after="100" w:afterAutospacing="1" w:line="450" w:lineRule="atLeast"/>
        <w:ind w:left="375"/>
        <w:rPr>
          <w:rFonts w:ascii="Arial" w:eastAsia="Times New Roman" w:hAnsi="Arial" w:cs="Arial"/>
          <w:color w:val="344051"/>
          <w:sz w:val="24"/>
          <w:szCs w:val="24"/>
        </w:rPr>
      </w:pPr>
      <w:bookmarkStart w:id="5" w:name="Academic-Ranks"/>
      <w:r w:rsidRPr="00E05BD1">
        <w:rPr>
          <w:rFonts w:ascii="Arial" w:eastAsia="Times New Roman" w:hAnsi="Arial" w:cs="Arial"/>
          <w:color w:val="787F8A"/>
          <w:sz w:val="24"/>
          <w:szCs w:val="24"/>
        </w:rPr>
        <w:t>Academic Ranks</w:t>
      </w:r>
      <w:bookmarkEnd w:id="5"/>
    </w:p>
    <w:p w:rsidR="00E05BD1" w:rsidRPr="00E05BD1" w:rsidRDefault="00E05BD1" w:rsidP="00E05BD1">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E05BD1">
        <w:rPr>
          <w:rFonts w:ascii="Arial" w:eastAsia="Times New Roman" w:hAnsi="Arial" w:cs="Arial"/>
          <w:color w:val="344051"/>
          <w:sz w:val="24"/>
          <w:szCs w:val="24"/>
        </w:rPr>
        <w:t>The following are criteria that distinguish between academic ranks.</w:t>
      </w:r>
    </w:p>
    <w:p w:rsidR="00E05BD1" w:rsidRPr="00E05BD1" w:rsidRDefault="00E05BD1" w:rsidP="00E05BD1">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E05BD1">
        <w:rPr>
          <w:rFonts w:ascii="Arial" w:eastAsia="Times New Roman" w:hAnsi="Arial" w:cs="Arial"/>
          <w:color w:val="344051"/>
          <w:sz w:val="24"/>
          <w:szCs w:val="24"/>
        </w:rPr>
        <w:t>Instructor</w:t>
      </w:r>
    </w:p>
    <w:p w:rsidR="00E05BD1" w:rsidRPr="00E05BD1" w:rsidRDefault="00E05BD1" w:rsidP="00E05BD1">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E05BD1">
        <w:rPr>
          <w:rFonts w:ascii="Arial" w:eastAsia="Times New Roman" w:hAnsi="Arial" w:cs="Arial"/>
          <w:color w:val="344051"/>
          <w:sz w:val="24"/>
          <w:szCs w:val="24"/>
        </w:rPr>
        <w:t>Demonstrated ability in instruction student development.</w:t>
      </w:r>
    </w:p>
    <w:p w:rsidR="00E05BD1" w:rsidRPr="00E05BD1" w:rsidRDefault="00E05BD1" w:rsidP="00E05BD1">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E05BD1">
        <w:rPr>
          <w:rFonts w:ascii="Arial" w:eastAsia="Times New Roman" w:hAnsi="Arial" w:cs="Arial"/>
          <w:color w:val="344051"/>
          <w:sz w:val="24"/>
          <w:szCs w:val="24"/>
        </w:rPr>
        <w:t>Master's degree from an accredited institution in the instructional discipline or related area.</w:t>
      </w:r>
    </w:p>
    <w:p w:rsidR="00E05BD1" w:rsidRPr="00E05BD1" w:rsidRDefault="00E05BD1" w:rsidP="00E05BD1">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E05BD1">
        <w:rPr>
          <w:rFonts w:ascii="Arial" w:eastAsia="Times New Roman" w:hAnsi="Arial" w:cs="Arial"/>
          <w:color w:val="344051"/>
          <w:sz w:val="24"/>
          <w:szCs w:val="24"/>
        </w:rPr>
        <w:t>Evidence of good character, mature attitude, and professional integrity.</w:t>
      </w:r>
    </w:p>
    <w:p w:rsidR="00E05BD1" w:rsidRPr="00E05BD1" w:rsidRDefault="00E05BD1" w:rsidP="00E05BD1">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E05BD1">
        <w:rPr>
          <w:rFonts w:ascii="Arial" w:eastAsia="Times New Roman" w:hAnsi="Arial" w:cs="Arial"/>
          <w:color w:val="344051"/>
          <w:sz w:val="24"/>
          <w:szCs w:val="24"/>
        </w:rPr>
        <w:t>Senior Instructor</w:t>
      </w:r>
    </w:p>
    <w:p w:rsidR="00E05BD1" w:rsidRPr="00E05BD1" w:rsidRDefault="00E05BD1" w:rsidP="00E05BD1">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E05BD1">
        <w:rPr>
          <w:rFonts w:ascii="Arial" w:eastAsia="Times New Roman" w:hAnsi="Arial" w:cs="Arial"/>
          <w:color w:val="344051"/>
          <w:sz w:val="24"/>
          <w:szCs w:val="24"/>
        </w:rPr>
        <w:t>Documented evidence of high quality teaching and contribution to student development.</w:t>
      </w:r>
    </w:p>
    <w:p w:rsidR="00E05BD1" w:rsidRPr="00E05BD1" w:rsidRDefault="00E05BD1" w:rsidP="00E05BD1">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E05BD1">
        <w:rPr>
          <w:rFonts w:ascii="Arial" w:eastAsia="Times New Roman" w:hAnsi="Arial" w:cs="Arial"/>
          <w:color w:val="344051"/>
          <w:sz w:val="24"/>
          <w:szCs w:val="24"/>
        </w:rPr>
        <w:t>Master's degree from an accredited institution in the instructional discipline or related area.</w:t>
      </w:r>
    </w:p>
    <w:p w:rsidR="00E05BD1" w:rsidRPr="00E05BD1" w:rsidRDefault="00E05BD1" w:rsidP="00E05BD1">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E05BD1">
        <w:rPr>
          <w:rFonts w:ascii="Arial" w:eastAsia="Times New Roman" w:hAnsi="Arial" w:cs="Arial"/>
          <w:color w:val="344051"/>
          <w:sz w:val="24"/>
          <w:szCs w:val="24"/>
        </w:rPr>
        <w:t>Evidence of good character, mature attitude, and professional integrity.</w:t>
      </w:r>
    </w:p>
    <w:p w:rsidR="00E05BD1" w:rsidRPr="00E05BD1" w:rsidRDefault="00E05BD1" w:rsidP="00E05BD1">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E05BD1">
        <w:rPr>
          <w:rFonts w:ascii="Arial" w:eastAsia="Times New Roman" w:hAnsi="Arial" w:cs="Arial"/>
          <w:color w:val="344051"/>
          <w:sz w:val="24"/>
          <w:szCs w:val="24"/>
        </w:rPr>
        <w:t>Master Instructor</w:t>
      </w:r>
    </w:p>
    <w:p w:rsidR="00E05BD1" w:rsidRPr="00E05BD1" w:rsidRDefault="00E05BD1" w:rsidP="00E05BD1">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E05BD1">
        <w:rPr>
          <w:rFonts w:ascii="Arial" w:eastAsia="Times New Roman" w:hAnsi="Arial" w:cs="Arial"/>
          <w:color w:val="344051"/>
          <w:sz w:val="24"/>
          <w:szCs w:val="24"/>
        </w:rPr>
        <w:t>Documented evidence of teaching excellence and superior contribution to student development.</w:t>
      </w:r>
    </w:p>
    <w:p w:rsidR="00E05BD1" w:rsidRPr="00E05BD1" w:rsidRDefault="00E05BD1" w:rsidP="00E05BD1">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E05BD1">
        <w:rPr>
          <w:rFonts w:ascii="Arial" w:eastAsia="Times New Roman" w:hAnsi="Arial" w:cs="Arial"/>
          <w:color w:val="344051"/>
          <w:sz w:val="24"/>
          <w:szCs w:val="24"/>
        </w:rPr>
        <w:lastRenderedPageBreak/>
        <w:t>Master's degree from an accredited institution in the instructional discipline or related area.</w:t>
      </w:r>
    </w:p>
    <w:p w:rsidR="00E05BD1" w:rsidRPr="00E05BD1" w:rsidRDefault="00E05BD1" w:rsidP="00E05BD1">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E05BD1">
        <w:rPr>
          <w:rFonts w:ascii="Arial" w:eastAsia="Times New Roman" w:hAnsi="Arial" w:cs="Arial"/>
          <w:color w:val="344051"/>
          <w:sz w:val="24"/>
          <w:szCs w:val="24"/>
        </w:rPr>
        <w:t>Evidence of good character, mature attitude, and professional integrity.</w:t>
      </w:r>
    </w:p>
    <w:p w:rsidR="00E05BD1" w:rsidRPr="00E05BD1" w:rsidRDefault="00E05BD1" w:rsidP="00E05BD1">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E05BD1">
        <w:rPr>
          <w:rFonts w:ascii="Arial" w:eastAsia="Times New Roman" w:hAnsi="Arial" w:cs="Arial"/>
          <w:color w:val="344051"/>
          <w:sz w:val="24"/>
          <w:szCs w:val="24"/>
        </w:rPr>
        <w:t> Assistant Professor</w:t>
      </w:r>
    </w:p>
    <w:p w:rsidR="00E05BD1" w:rsidRPr="00E05BD1" w:rsidRDefault="00E05BD1" w:rsidP="00E05BD1">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E05BD1">
        <w:rPr>
          <w:rFonts w:ascii="Arial" w:eastAsia="Times New Roman" w:hAnsi="Arial" w:cs="Arial"/>
          <w:color w:val="344051"/>
          <w:sz w:val="24"/>
          <w:szCs w:val="24"/>
        </w:rPr>
        <w:t>Earned doctorate or terminal degree from an accredited institution in the instructional discipline or related area.</w:t>
      </w:r>
    </w:p>
    <w:p w:rsidR="00E05BD1" w:rsidRPr="00E05BD1" w:rsidRDefault="00E05BD1" w:rsidP="00E05BD1">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E05BD1">
        <w:rPr>
          <w:rFonts w:ascii="Arial" w:eastAsia="Times New Roman" w:hAnsi="Arial" w:cs="Arial"/>
          <w:color w:val="344051"/>
          <w:sz w:val="24"/>
          <w:szCs w:val="24"/>
        </w:rPr>
        <w:t>Evidence of potential ability in instruction, and/or service, and/or research.</w:t>
      </w:r>
    </w:p>
    <w:p w:rsidR="00E05BD1" w:rsidRPr="00E05BD1" w:rsidRDefault="00E05BD1" w:rsidP="00E05BD1">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E05BD1">
        <w:rPr>
          <w:rFonts w:ascii="Arial" w:eastAsia="Times New Roman" w:hAnsi="Arial" w:cs="Arial"/>
          <w:color w:val="344051"/>
          <w:sz w:val="24"/>
          <w:szCs w:val="24"/>
        </w:rPr>
        <w:t>Evidence of good character, mature attitude, and professional integrity.</w:t>
      </w:r>
    </w:p>
    <w:p w:rsidR="00E05BD1" w:rsidRPr="00E05BD1" w:rsidRDefault="00E05BD1" w:rsidP="00E05BD1">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E05BD1">
        <w:rPr>
          <w:rFonts w:ascii="Arial" w:eastAsia="Times New Roman" w:hAnsi="Arial" w:cs="Arial"/>
          <w:color w:val="344051"/>
          <w:sz w:val="24"/>
          <w:szCs w:val="24"/>
        </w:rPr>
        <w:t>Associate Professor</w:t>
      </w:r>
    </w:p>
    <w:p w:rsidR="00E05BD1" w:rsidRPr="00E05BD1" w:rsidRDefault="00E05BD1" w:rsidP="00E05BD1">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E05BD1">
        <w:rPr>
          <w:rFonts w:ascii="Arial" w:eastAsia="Times New Roman" w:hAnsi="Arial" w:cs="Arial"/>
          <w:color w:val="344051"/>
          <w:sz w:val="24"/>
          <w:szCs w:val="24"/>
        </w:rPr>
        <w:t>Earned doctorate or terminal degree from an accredited institution in the instructional discipline or related area.</w:t>
      </w:r>
    </w:p>
    <w:p w:rsidR="00E05BD1" w:rsidRPr="00E05BD1" w:rsidRDefault="00E05BD1" w:rsidP="00E05BD1">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E05BD1">
        <w:rPr>
          <w:rFonts w:ascii="Arial" w:eastAsia="Times New Roman" w:hAnsi="Arial" w:cs="Arial"/>
          <w:color w:val="344051"/>
          <w:sz w:val="24"/>
          <w:szCs w:val="24"/>
        </w:rPr>
        <w:t>Documented evidence of high quality professional productivity which may lead to national recognition in the academic discipline, and/or consonant with the goals of the university and of the academic unit to which the faculty member belongs.</w:t>
      </w:r>
    </w:p>
    <w:p w:rsidR="00E05BD1" w:rsidRPr="00E05BD1" w:rsidRDefault="00E05BD1" w:rsidP="00E05BD1">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E05BD1">
        <w:rPr>
          <w:rFonts w:ascii="Arial" w:eastAsia="Times New Roman" w:hAnsi="Arial" w:cs="Arial"/>
          <w:color w:val="344051"/>
          <w:sz w:val="24"/>
          <w:szCs w:val="24"/>
        </w:rPr>
        <w:t>Documented evidence of ability in instruction and/or service and/or research.</w:t>
      </w:r>
    </w:p>
    <w:p w:rsidR="00E05BD1" w:rsidRPr="00E05BD1" w:rsidRDefault="00E05BD1" w:rsidP="00E05BD1">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E05BD1">
        <w:rPr>
          <w:rFonts w:ascii="Arial" w:eastAsia="Times New Roman" w:hAnsi="Arial" w:cs="Arial"/>
          <w:color w:val="344051"/>
          <w:sz w:val="24"/>
          <w:szCs w:val="24"/>
        </w:rPr>
        <w:t>Evidence of good character, mature attitude, and professional integrity.</w:t>
      </w:r>
    </w:p>
    <w:p w:rsidR="00E05BD1" w:rsidRPr="00E05BD1" w:rsidRDefault="00E05BD1" w:rsidP="00E05BD1">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E05BD1">
        <w:rPr>
          <w:rFonts w:ascii="Arial" w:eastAsia="Times New Roman" w:hAnsi="Arial" w:cs="Arial"/>
          <w:color w:val="344051"/>
          <w:sz w:val="24"/>
          <w:szCs w:val="24"/>
        </w:rPr>
        <w:t>Professor</w:t>
      </w:r>
    </w:p>
    <w:p w:rsidR="00E05BD1" w:rsidRPr="00E05BD1" w:rsidRDefault="00E05BD1" w:rsidP="00E05BD1">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E05BD1">
        <w:rPr>
          <w:rFonts w:ascii="Arial" w:eastAsia="Times New Roman" w:hAnsi="Arial" w:cs="Arial"/>
          <w:color w:val="344051"/>
          <w:sz w:val="24"/>
          <w:szCs w:val="24"/>
        </w:rPr>
        <w:t>Earned doctorate or terminal degree from an accredited institution in the instructional discipline or related area.</w:t>
      </w:r>
    </w:p>
    <w:p w:rsidR="00E05BD1" w:rsidRPr="00E05BD1" w:rsidRDefault="00E05BD1" w:rsidP="00E05BD1">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E05BD1">
        <w:rPr>
          <w:rFonts w:ascii="Arial" w:eastAsia="Times New Roman" w:hAnsi="Arial" w:cs="Arial"/>
          <w:color w:val="344051"/>
          <w:sz w:val="24"/>
          <w:szCs w:val="24"/>
        </w:rPr>
        <w:t>Documented evidence of sustained high quality professional productivity and national recognition in the academic discipline or sustained high quality professional productivity in the academic discipline that is consonant with the goals of the university and of the academic unit to which the faculty member belongs.</w:t>
      </w:r>
    </w:p>
    <w:p w:rsidR="00E05BD1" w:rsidRPr="00E05BD1" w:rsidRDefault="00E05BD1" w:rsidP="00E05BD1">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E05BD1">
        <w:rPr>
          <w:rFonts w:ascii="Arial" w:eastAsia="Times New Roman" w:hAnsi="Arial" w:cs="Arial"/>
          <w:color w:val="344051"/>
          <w:sz w:val="24"/>
          <w:szCs w:val="24"/>
        </w:rPr>
        <w:t xml:space="preserve">Documented evidence of teaching excellence and superior contribution to student development or superior scholarly or creative activity will </w:t>
      </w:r>
      <w:r w:rsidRPr="00E05BD1">
        <w:rPr>
          <w:rFonts w:ascii="Arial" w:eastAsia="Times New Roman" w:hAnsi="Arial" w:cs="Arial"/>
          <w:color w:val="344051"/>
          <w:sz w:val="24"/>
          <w:szCs w:val="24"/>
        </w:rPr>
        <w:lastRenderedPageBreak/>
        <w:t>contribute to the positive record of the candidate for advancement to the rank of professor.  Since there is no higher rank, promotion to professor is taken with great care and requires a level of achievement beyond that required for associate professor.  This rank is not a reward for long service; rather it is recognition of superior achievement within the discipline with every expectation of continuing contribution to the university and the larger   academic community.</w:t>
      </w:r>
    </w:p>
    <w:p w:rsidR="00E05BD1" w:rsidRPr="00E05BD1" w:rsidRDefault="00E05BD1" w:rsidP="00E05BD1">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E05BD1">
        <w:rPr>
          <w:rFonts w:ascii="Arial" w:eastAsia="Times New Roman" w:hAnsi="Arial" w:cs="Arial"/>
          <w:color w:val="344051"/>
          <w:sz w:val="24"/>
          <w:szCs w:val="24"/>
        </w:rPr>
        <w:t>Evidence of good character, mature attitude, and professional integrity, and a high degree of academic maturity and responsibility.</w:t>
      </w:r>
    </w:p>
    <w:p w:rsidR="00E05BD1" w:rsidRPr="00E05BD1" w:rsidRDefault="00E05BD1" w:rsidP="00E05BD1">
      <w:pPr>
        <w:numPr>
          <w:ilvl w:val="0"/>
          <w:numId w:val="5"/>
        </w:numPr>
        <w:shd w:val="clear" w:color="auto" w:fill="FFFFFF"/>
        <w:spacing w:before="100" w:beforeAutospacing="1" w:after="100" w:afterAutospacing="1" w:line="450" w:lineRule="atLeast"/>
        <w:ind w:left="375"/>
        <w:rPr>
          <w:rFonts w:ascii="Arial" w:eastAsia="Times New Roman" w:hAnsi="Arial" w:cs="Arial"/>
          <w:color w:val="344051"/>
          <w:sz w:val="24"/>
          <w:szCs w:val="24"/>
        </w:rPr>
      </w:pPr>
      <w:bookmarkStart w:id="6" w:name="Exceptions-to-Minimum-Rank-Qualification"/>
      <w:r w:rsidRPr="00E05BD1">
        <w:rPr>
          <w:rFonts w:ascii="Arial" w:eastAsia="Times New Roman" w:hAnsi="Arial" w:cs="Arial"/>
          <w:color w:val="787F8A"/>
          <w:sz w:val="24"/>
          <w:szCs w:val="24"/>
        </w:rPr>
        <w:t>Exceptions to Minimum Rank Qualifications</w:t>
      </w:r>
      <w:bookmarkEnd w:id="6"/>
    </w:p>
    <w:p w:rsidR="00E05BD1" w:rsidRPr="00E05BD1" w:rsidRDefault="00E05BD1" w:rsidP="00E05BD1">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E05BD1">
        <w:rPr>
          <w:rFonts w:ascii="Arial" w:eastAsia="Times New Roman" w:hAnsi="Arial" w:cs="Arial"/>
          <w:color w:val="344051"/>
          <w:sz w:val="24"/>
          <w:szCs w:val="24"/>
        </w:rPr>
        <w:t>The minimum rank qualifications should be met in every recommendation regarding appointment to academic rank and for promotion in academic rank.</w:t>
      </w:r>
    </w:p>
    <w:p w:rsidR="00E05BD1" w:rsidRPr="00E05BD1" w:rsidRDefault="00E05BD1" w:rsidP="00E05BD1">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E05BD1">
        <w:rPr>
          <w:rFonts w:ascii="Arial" w:eastAsia="Times New Roman" w:hAnsi="Arial" w:cs="Arial"/>
          <w:color w:val="344051"/>
          <w:sz w:val="24"/>
          <w:szCs w:val="24"/>
        </w:rPr>
        <w:t>Exceptions to the minimum rank qualifications can be recommended by the president of a university; however, such exceptions are not favored and should be granted only upon a showing of a candidate's exceptional merit and/or other extraordinary circumstances, such as an objective need to deviate from these minimum qualifications in filling positions and/or retaining otherwise qualified faculty within certain academic disciplines.</w:t>
      </w:r>
    </w:p>
    <w:p w:rsidR="00E05BD1" w:rsidRPr="00E05BD1" w:rsidRDefault="00E05BD1" w:rsidP="00E05BD1">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E05BD1">
        <w:rPr>
          <w:rFonts w:ascii="Arial" w:eastAsia="Times New Roman" w:hAnsi="Arial" w:cs="Arial"/>
          <w:color w:val="344051"/>
          <w:sz w:val="24"/>
          <w:szCs w:val="24"/>
        </w:rPr>
        <w:t>Petitions for exceptions to promotional criteria may include consideration of the appropriateness of the degree or extraordinary qualities that the candidate may possess.</w:t>
      </w:r>
    </w:p>
    <w:p w:rsidR="00E05BD1" w:rsidRPr="00E05BD1" w:rsidRDefault="00E05BD1" w:rsidP="00E05BD1">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E05BD1">
        <w:rPr>
          <w:rFonts w:ascii="Arial" w:eastAsia="Times New Roman" w:hAnsi="Arial" w:cs="Arial"/>
          <w:color w:val="344051"/>
          <w:sz w:val="24"/>
          <w:szCs w:val="24"/>
        </w:rPr>
        <w:t>The equivalent work experience credit may include relevant teaching experience or other experiences such as experience gained as an administrator, counselor, librarian, journeyman, or the like.</w:t>
      </w:r>
    </w:p>
    <w:p w:rsidR="00E05BD1" w:rsidRPr="00E05BD1" w:rsidRDefault="00E05BD1" w:rsidP="00E05BD1">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E05BD1">
        <w:rPr>
          <w:rFonts w:ascii="Arial" w:eastAsia="Times New Roman" w:hAnsi="Arial" w:cs="Arial"/>
          <w:color w:val="344051"/>
          <w:sz w:val="24"/>
          <w:szCs w:val="24"/>
        </w:rPr>
        <w:t>When evaluating college level instruction, research/scholarship/creative activities, and service, the university may make its own determination whether or not the number of years of experience from another university is to be accepted in total or discounted in some manner.</w:t>
      </w:r>
    </w:p>
    <w:p w:rsidR="00E05BD1" w:rsidRPr="00E05BD1" w:rsidRDefault="00E05BD1" w:rsidP="00E05BD1">
      <w:pPr>
        <w:numPr>
          <w:ilvl w:val="0"/>
          <w:numId w:val="5"/>
        </w:numPr>
        <w:shd w:val="clear" w:color="auto" w:fill="FFFFFF"/>
        <w:spacing w:before="100" w:beforeAutospacing="1" w:after="100" w:afterAutospacing="1" w:line="450" w:lineRule="atLeast"/>
        <w:ind w:left="375"/>
        <w:rPr>
          <w:rFonts w:ascii="Arial" w:eastAsia="Times New Roman" w:hAnsi="Arial" w:cs="Arial"/>
          <w:color w:val="344051"/>
          <w:sz w:val="24"/>
          <w:szCs w:val="24"/>
        </w:rPr>
      </w:pPr>
      <w:bookmarkStart w:id="7" w:name="Terminal-Degree-Designation"/>
      <w:r w:rsidRPr="00E05BD1">
        <w:rPr>
          <w:rFonts w:ascii="Arial" w:eastAsia="Times New Roman" w:hAnsi="Arial" w:cs="Arial"/>
          <w:color w:val="787F8A"/>
          <w:sz w:val="24"/>
          <w:szCs w:val="24"/>
        </w:rPr>
        <w:lastRenderedPageBreak/>
        <w:t>Terminal Degree Designation</w:t>
      </w:r>
      <w:bookmarkEnd w:id="7"/>
    </w:p>
    <w:p w:rsidR="00E05BD1" w:rsidRPr="00E05BD1" w:rsidRDefault="00E05BD1" w:rsidP="00E05BD1">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E05BD1">
        <w:rPr>
          <w:rFonts w:ascii="Arial" w:eastAsia="Times New Roman" w:hAnsi="Arial" w:cs="Arial"/>
          <w:color w:val="344051"/>
          <w:sz w:val="24"/>
          <w:szCs w:val="24"/>
        </w:rPr>
        <w:t>The Board will use national discipline standards to determine which degrees are considered to be “terminal” within each discipline and will provide each university with a list that delineates these degrees.</w:t>
      </w:r>
    </w:p>
    <w:p w:rsidR="00E05BD1" w:rsidRPr="00E05BD1" w:rsidRDefault="00E05BD1" w:rsidP="00E05BD1">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E05BD1">
        <w:rPr>
          <w:rFonts w:ascii="Arial" w:eastAsia="Times New Roman" w:hAnsi="Arial" w:cs="Arial"/>
          <w:color w:val="344051"/>
          <w:sz w:val="24"/>
          <w:szCs w:val="24"/>
        </w:rPr>
        <w:t>Each university may request blanket exceptions to these standards by classification based upon its mission and hiring practice.</w:t>
      </w:r>
    </w:p>
    <w:p w:rsidR="00E05BD1" w:rsidRPr="00E05BD1" w:rsidRDefault="00E05BD1" w:rsidP="00E05BD1">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E05BD1">
        <w:rPr>
          <w:rFonts w:ascii="Arial" w:eastAsia="Times New Roman" w:hAnsi="Arial" w:cs="Arial"/>
          <w:color w:val="344051"/>
          <w:sz w:val="24"/>
          <w:szCs w:val="24"/>
        </w:rPr>
        <w:t>Each university may also petition the Board for “equivalent work experience credit” when a candidate has not obtained a terminal degree, but has a record of extraordinary achievement in a given field.</w:t>
      </w:r>
    </w:p>
    <w:p w:rsidR="00E05BD1" w:rsidRPr="00E05BD1" w:rsidRDefault="00E05BD1" w:rsidP="00E05BD1">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E05BD1">
        <w:rPr>
          <w:rFonts w:ascii="Arial" w:eastAsia="Times New Roman" w:hAnsi="Arial" w:cs="Arial"/>
          <w:color w:val="344051"/>
          <w:sz w:val="24"/>
          <w:szCs w:val="24"/>
        </w:rPr>
        <w:t>The equivalent work experience credit may include relevant teaching experience or other experiences such as experience gained as an administrator, counselor, librarian, journeyman, or the like.</w:t>
      </w:r>
    </w:p>
    <w:p w:rsidR="00E05BD1" w:rsidRPr="00E05BD1" w:rsidRDefault="00E05BD1" w:rsidP="00E05BD1">
      <w:pPr>
        <w:numPr>
          <w:ilvl w:val="0"/>
          <w:numId w:val="5"/>
        </w:numPr>
        <w:shd w:val="clear" w:color="auto" w:fill="FFFFFF"/>
        <w:spacing w:before="100" w:beforeAutospacing="1" w:after="100" w:afterAutospacing="1" w:line="450" w:lineRule="atLeast"/>
        <w:ind w:left="375"/>
        <w:rPr>
          <w:rFonts w:ascii="Arial" w:eastAsia="Times New Roman" w:hAnsi="Arial" w:cs="Arial"/>
          <w:color w:val="344051"/>
          <w:sz w:val="24"/>
          <w:szCs w:val="24"/>
        </w:rPr>
      </w:pPr>
      <w:bookmarkStart w:id="8" w:name="Promotion-Criteria"/>
      <w:r w:rsidRPr="00E05BD1">
        <w:rPr>
          <w:rFonts w:ascii="Arial" w:eastAsia="Times New Roman" w:hAnsi="Arial" w:cs="Arial"/>
          <w:color w:val="787F8A"/>
          <w:sz w:val="24"/>
          <w:szCs w:val="24"/>
        </w:rPr>
        <w:t>Promotion Criteria</w:t>
      </w:r>
      <w:bookmarkEnd w:id="8"/>
    </w:p>
    <w:p w:rsidR="00E05BD1" w:rsidRPr="00E05BD1" w:rsidRDefault="00E05BD1" w:rsidP="00E05BD1">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E05BD1">
        <w:rPr>
          <w:rFonts w:ascii="Arial" w:eastAsia="Times New Roman" w:hAnsi="Arial" w:cs="Arial"/>
          <w:color w:val="344051"/>
          <w:sz w:val="24"/>
          <w:szCs w:val="24"/>
        </w:rPr>
        <w:t>The academic units of the universities must develop written guidelines with specific criteria for evaluating the faculty in teaching, research and service. The departmental guidelines cannot be less rigorous than TBR or university guidelines.</w:t>
      </w:r>
    </w:p>
    <w:p w:rsidR="00E05BD1" w:rsidRPr="00E05BD1" w:rsidRDefault="00E05BD1" w:rsidP="00E05BD1">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E05BD1">
        <w:rPr>
          <w:rFonts w:ascii="Arial" w:eastAsia="Times New Roman" w:hAnsi="Arial" w:cs="Arial"/>
          <w:color w:val="344051"/>
          <w:sz w:val="24"/>
          <w:szCs w:val="24"/>
        </w:rPr>
        <w:t>These guidelines should be distributed to all new faculty members and should be easily available at all times, preferably via the Web. Whenever the guidelines are revised, the faculty should be notified of the availability of the revised guidelines.</w:t>
      </w:r>
    </w:p>
    <w:p w:rsidR="00E05BD1" w:rsidRPr="00E05BD1" w:rsidRDefault="00E05BD1" w:rsidP="00E05BD1">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E05BD1">
        <w:rPr>
          <w:rFonts w:ascii="Arial" w:eastAsia="Times New Roman" w:hAnsi="Arial" w:cs="Arial"/>
          <w:color w:val="344051"/>
          <w:sz w:val="24"/>
          <w:szCs w:val="24"/>
        </w:rPr>
        <w:t>Guidelines should use the following general criteria as minimum requirements.</w:t>
      </w:r>
    </w:p>
    <w:p w:rsidR="00E05BD1" w:rsidRPr="00E05BD1" w:rsidRDefault="00E05BD1" w:rsidP="00E05BD1">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E05BD1">
        <w:rPr>
          <w:rFonts w:ascii="Arial" w:eastAsia="Times New Roman" w:hAnsi="Arial" w:cs="Arial"/>
          <w:color w:val="344051"/>
          <w:sz w:val="24"/>
          <w:szCs w:val="24"/>
        </w:rPr>
        <w:t>Teaching</w:t>
      </w:r>
    </w:p>
    <w:p w:rsidR="00E05BD1" w:rsidRPr="00E05BD1" w:rsidRDefault="00E05BD1" w:rsidP="00E05BD1">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E05BD1">
        <w:rPr>
          <w:rFonts w:ascii="Arial" w:eastAsia="Times New Roman" w:hAnsi="Arial" w:cs="Arial"/>
          <w:color w:val="344051"/>
          <w:sz w:val="24"/>
          <w:szCs w:val="24"/>
        </w:rPr>
        <w:t xml:space="preserve">Evaluation of instruction shall be based on the following criteria with </w:t>
      </w:r>
      <w:proofErr w:type="gramStart"/>
      <w:r w:rsidRPr="00E05BD1">
        <w:rPr>
          <w:rFonts w:ascii="Arial" w:eastAsia="Times New Roman" w:hAnsi="Arial" w:cs="Arial"/>
          <w:color w:val="344051"/>
          <w:sz w:val="24"/>
          <w:szCs w:val="24"/>
        </w:rPr>
        <w:t>the each</w:t>
      </w:r>
      <w:proofErr w:type="gramEnd"/>
      <w:r w:rsidRPr="00E05BD1">
        <w:rPr>
          <w:rFonts w:ascii="Arial" w:eastAsia="Times New Roman" w:hAnsi="Arial" w:cs="Arial"/>
          <w:color w:val="344051"/>
          <w:sz w:val="24"/>
          <w:szCs w:val="24"/>
        </w:rPr>
        <w:t xml:space="preserve"> unit assigning varying degrees of weight to each criterion. Deficiencies in some criteria may be counterbalanced by superiority in others.</w:t>
      </w:r>
    </w:p>
    <w:p w:rsidR="00E05BD1" w:rsidRPr="00E05BD1" w:rsidRDefault="00E05BD1" w:rsidP="00E05BD1">
      <w:pPr>
        <w:numPr>
          <w:ilvl w:val="4"/>
          <w:numId w:val="5"/>
        </w:numPr>
        <w:shd w:val="clear" w:color="auto" w:fill="FFFFFF"/>
        <w:spacing w:before="100" w:beforeAutospacing="1" w:after="100" w:afterAutospacing="1" w:line="450" w:lineRule="atLeast"/>
        <w:ind w:left="1875"/>
        <w:rPr>
          <w:rFonts w:ascii="Arial" w:eastAsia="Times New Roman" w:hAnsi="Arial" w:cs="Arial"/>
          <w:color w:val="344051"/>
          <w:sz w:val="24"/>
          <w:szCs w:val="24"/>
        </w:rPr>
      </w:pPr>
      <w:r w:rsidRPr="00E05BD1">
        <w:rPr>
          <w:rFonts w:ascii="Arial" w:eastAsia="Times New Roman" w:hAnsi="Arial" w:cs="Arial"/>
          <w:color w:val="344051"/>
          <w:sz w:val="24"/>
          <w:szCs w:val="24"/>
        </w:rPr>
        <w:t>Evaluation by department/division chairperson, and appropriate dean.</w:t>
      </w:r>
    </w:p>
    <w:p w:rsidR="00E05BD1" w:rsidRPr="00E05BD1" w:rsidRDefault="00E05BD1" w:rsidP="00E05BD1">
      <w:pPr>
        <w:numPr>
          <w:ilvl w:val="4"/>
          <w:numId w:val="5"/>
        </w:numPr>
        <w:shd w:val="clear" w:color="auto" w:fill="FFFFFF"/>
        <w:spacing w:before="100" w:beforeAutospacing="1" w:after="100" w:afterAutospacing="1" w:line="450" w:lineRule="atLeast"/>
        <w:ind w:left="1875"/>
        <w:rPr>
          <w:rFonts w:ascii="Arial" w:eastAsia="Times New Roman" w:hAnsi="Arial" w:cs="Arial"/>
          <w:color w:val="344051"/>
          <w:sz w:val="24"/>
          <w:szCs w:val="24"/>
        </w:rPr>
      </w:pPr>
      <w:r w:rsidRPr="00E05BD1">
        <w:rPr>
          <w:rFonts w:ascii="Arial" w:eastAsia="Times New Roman" w:hAnsi="Arial" w:cs="Arial"/>
          <w:color w:val="344051"/>
          <w:sz w:val="24"/>
          <w:szCs w:val="24"/>
        </w:rPr>
        <w:lastRenderedPageBreak/>
        <w:t>Evaluation of curriculum and/or program development; development of instructional techniques (including development of on-line and computer assisted course development), etc.</w:t>
      </w:r>
    </w:p>
    <w:p w:rsidR="00E05BD1" w:rsidRPr="00E05BD1" w:rsidRDefault="00E05BD1" w:rsidP="00E05BD1">
      <w:pPr>
        <w:numPr>
          <w:ilvl w:val="4"/>
          <w:numId w:val="5"/>
        </w:numPr>
        <w:shd w:val="clear" w:color="auto" w:fill="FFFFFF"/>
        <w:spacing w:before="100" w:beforeAutospacing="1" w:after="100" w:afterAutospacing="1" w:line="450" w:lineRule="atLeast"/>
        <w:ind w:left="1875"/>
        <w:rPr>
          <w:rFonts w:ascii="Arial" w:eastAsia="Times New Roman" w:hAnsi="Arial" w:cs="Arial"/>
          <w:color w:val="344051"/>
          <w:sz w:val="24"/>
          <w:szCs w:val="24"/>
        </w:rPr>
      </w:pPr>
      <w:r w:rsidRPr="00E05BD1">
        <w:rPr>
          <w:rFonts w:ascii="Arial" w:eastAsia="Times New Roman" w:hAnsi="Arial" w:cs="Arial"/>
          <w:color w:val="344051"/>
          <w:sz w:val="24"/>
          <w:szCs w:val="24"/>
        </w:rPr>
        <w:t>Promote involvement in student research, scholarship, and creative activities.</w:t>
      </w:r>
    </w:p>
    <w:p w:rsidR="00E05BD1" w:rsidRPr="00E05BD1" w:rsidRDefault="00E05BD1" w:rsidP="00E05BD1">
      <w:pPr>
        <w:numPr>
          <w:ilvl w:val="4"/>
          <w:numId w:val="5"/>
        </w:numPr>
        <w:shd w:val="clear" w:color="auto" w:fill="FFFFFF"/>
        <w:spacing w:before="100" w:beforeAutospacing="1" w:after="100" w:afterAutospacing="1" w:line="450" w:lineRule="atLeast"/>
        <w:ind w:left="1875"/>
        <w:rPr>
          <w:rFonts w:ascii="Arial" w:eastAsia="Times New Roman" w:hAnsi="Arial" w:cs="Arial"/>
          <w:color w:val="344051"/>
          <w:sz w:val="24"/>
          <w:szCs w:val="24"/>
        </w:rPr>
      </w:pPr>
      <w:r w:rsidRPr="00E05BD1">
        <w:rPr>
          <w:rFonts w:ascii="Arial" w:eastAsia="Times New Roman" w:hAnsi="Arial" w:cs="Arial"/>
          <w:color w:val="344051"/>
          <w:sz w:val="24"/>
          <w:szCs w:val="24"/>
        </w:rPr>
        <w:t>Evaluation of the individual's performance in the advisement of students.</w:t>
      </w:r>
    </w:p>
    <w:p w:rsidR="00E05BD1" w:rsidRPr="00E05BD1" w:rsidRDefault="00E05BD1" w:rsidP="00E05BD1">
      <w:pPr>
        <w:numPr>
          <w:ilvl w:val="4"/>
          <w:numId w:val="5"/>
        </w:numPr>
        <w:shd w:val="clear" w:color="auto" w:fill="FFFFFF"/>
        <w:spacing w:before="100" w:beforeAutospacing="1" w:after="100" w:afterAutospacing="1" w:line="450" w:lineRule="atLeast"/>
        <w:ind w:left="1875"/>
        <w:rPr>
          <w:rFonts w:ascii="Arial" w:eastAsia="Times New Roman" w:hAnsi="Arial" w:cs="Arial"/>
          <w:color w:val="344051"/>
          <w:sz w:val="24"/>
          <w:szCs w:val="24"/>
        </w:rPr>
      </w:pPr>
      <w:r w:rsidRPr="00E05BD1">
        <w:rPr>
          <w:rFonts w:ascii="Arial" w:eastAsia="Times New Roman" w:hAnsi="Arial" w:cs="Arial"/>
          <w:color w:val="344051"/>
          <w:sz w:val="24"/>
          <w:szCs w:val="24"/>
        </w:rPr>
        <w:t>Evaluation of the quality of the individual’s performance in graduate and undergraduate student mentoring.</w:t>
      </w:r>
    </w:p>
    <w:p w:rsidR="00E05BD1" w:rsidRPr="00E05BD1" w:rsidRDefault="00E05BD1" w:rsidP="00E05BD1">
      <w:pPr>
        <w:numPr>
          <w:ilvl w:val="4"/>
          <w:numId w:val="5"/>
        </w:numPr>
        <w:shd w:val="clear" w:color="auto" w:fill="FFFFFF"/>
        <w:spacing w:before="100" w:beforeAutospacing="1" w:after="100" w:afterAutospacing="1" w:line="450" w:lineRule="atLeast"/>
        <w:ind w:left="1875"/>
        <w:rPr>
          <w:rFonts w:ascii="Arial" w:eastAsia="Times New Roman" w:hAnsi="Arial" w:cs="Arial"/>
          <w:color w:val="344051"/>
          <w:sz w:val="24"/>
          <w:szCs w:val="24"/>
        </w:rPr>
      </w:pPr>
      <w:r w:rsidRPr="00E05BD1">
        <w:rPr>
          <w:rFonts w:ascii="Arial" w:eastAsia="Times New Roman" w:hAnsi="Arial" w:cs="Arial"/>
          <w:color w:val="344051"/>
          <w:sz w:val="24"/>
          <w:szCs w:val="24"/>
        </w:rPr>
        <w:t>Evaluation of published works in the teaching area; documentation of teaching methodology that may be shared with colleagues.</w:t>
      </w:r>
    </w:p>
    <w:p w:rsidR="00E05BD1" w:rsidRPr="00E05BD1" w:rsidRDefault="00E05BD1" w:rsidP="00E05BD1">
      <w:pPr>
        <w:numPr>
          <w:ilvl w:val="4"/>
          <w:numId w:val="5"/>
        </w:numPr>
        <w:shd w:val="clear" w:color="auto" w:fill="FFFFFF"/>
        <w:spacing w:before="100" w:beforeAutospacing="1" w:after="100" w:afterAutospacing="1" w:line="450" w:lineRule="atLeast"/>
        <w:ind w:left="1875"/>
        <w:rPr>
          <w:rFonts w:ascii="Arial" w:eastAsia="Times New Roman" w:hAnsi="Arial" w:cs="Arial"/>
          <w:color w:val="344051"/>
          <w:sz w:val="24"/>
          <w:szCs w:val="24"/>
        </w:rPr>
      </w:pPr>
      <w:r w:rsidRPr="00E05BD1">
        <w:rPr>
          <w:rFonts w:ascii="Arial" w:eastAsia="Times New Roman" w:hAnsi="Arial" w:cs="Arial"/>
          <w:color w:val="344051"/>
          <w:sz w:val="24"/>
          <w:szCs w:val="24"/>
        </w:rPr>
        <w:t>Honors and recognition for contributions to teaching.</w:t>
      </w:r>
    </w:p>
    <w:p w:rsidR="00E05BD1" w:rsidRPr="00E05BD1" w:rsidRDefault="00E05BD1" w:rsidP="00E05BD1">
      <w:pPr>
        <w:numPr>
          <w:ilvl w:val="4"/>
          <w:numId w:val="5"/>
        </w:numPr>
        <w:shd w:val="clear" w:color="auto" w:fill="FFFFFF"/>
        <w:spacing w:before="100" w:beforeAutospacing="1" w:after="100" w:afterAutospacing="1" w:line="450" w:lineRule="atLeast"/>
        <w:ind w:left="1875"/>
        <w:rPr>
          <w:rFonts w:ascii="Arial" w:eastAsia="Times New Roman" w:hAnsi="Arial" w:cs="Arial"/>
          <w:color w:val="344051"/>
          <w:sz w:val="24"/>
          <w:szCs w:val="24"/>
        </w:rPr>
      </w:pPr>
      <w:r w:rsidRPr="00E05BD1">
        <w:rPr>
          <w:rFonts w:ascii="Arial" w:eastAsia="Times New Roman" w:hAnsi="Arial" w:cs="Arial"/>
          <w:color w:val="344051"/>
          <w:sz w:val="24"/>
          <w:szCs w:val="24"/>
        </w:rPr>
        <w:t>A record that indicates that the individual has remained current in his/her field of specialization and effective in instructional methodology.</w:t>
      </w:r>
    </w:p>
    <w:p w:rsidR="00E05BD1" w:rsidRPr="00E05BD1" w:rsidRDefault="00E05BD1" w:rsidP="00E05BD1">
      <w:pPr>
        <w:numPr>
          <w:ilvl w:val="4"/>
          <w:numId w:val="5"/>
        </w:numPr>
        <w:shd w:val="clear" w:color="auto" w:fill="FFFFFF"/>
        <w:spacing w:before="100" w:beforeAutospacing="1" w:after="100" w:afterAutospacing="1" w:line="450" w:lineRule="atLeast"/>
        <w:ind w:left="1875"/>
        <w:rPr>
          <w:rFonts w:ascii="Arial" w:eastAsia="Times New Roman" w:hAnsi="Arial" w:cs="Arial"/>
          <w:color w:val="344051"/>
          <w:sz w:val="24"/>
          <w:szCs w:val="24"/>
        </w:rPr>
      </w:pPr>
      <w:r w:rsidRPr="00E05BD1">
        <w:rPr>
          <w:rFonts w:ascii="Arial" w:eastAsia="Times New Roman" w:hAnsi="Arial" w:cs="Arial"/>
          <w:color w:val="344051"/>
          <w:sz w:val="24"/>
          <w:szCs w:val="24"/>
        </w:rPr>
        <w:t>Evaluation by peers, especially those in the same academic area (as appropriate for the individual university.)</w:t>
      </w:r>
    </w:p>
    <w:p w:rsidR="00E05BD1" w:rsidRPr="00E05BD1" w:rsidRDefault="00E05BD1" w:rsidP="00E05BD1">
      <w:pPr>
        <w:numPr>
          <w:ilvl w:val="4"/>
          <w:numId w:val="5"/>
        </w:numPr>
        <w:shd w:val="clear" w:color="auto" w:fill="FFFFFF"/>
        <w:spacing w:before="100" w:beforeAutospacing="1" w:after="100" w:afterAutospacing="1" w:line="450" w:lineRule="atLeast"/>
        <w:ind w:left="1875"/>
        <w:rPr>
          <w:rFonts w:ascii="Arial" w:eastAsia="Times New Roman" w:hAnsi="Arial" w:cs="Arial"/>
          <w:color w:val="344051"/>
          <w:sz w:val="24"/>
          <w:szCs w:val="24"/>
        </w:rPr>
      </w:pPr>
      <w:r w:rsidRPr="00E05BD1">
        <w:rPr>
          <w:rFonts w:ascii="Arial" w:eastAsia="Times New Roman" w:hAnsi="Arial" w:cs="Arial"/>
          <w:color w:val="344051"/>
          <w:sz w:val="24"/>
          <w:szCs w:val="24"/>
        </w:rPr>
        <w:t>Student Evaluation of the teaching performance.</w:t>
      </w:r>
    </w:p>
    <w:p w:rsidR="00E05BD1" w:rsidRPr="00E05BD1" w:rsidRDefault="00E05BD1" w:rsidP="00E05BD1">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E05BD1">
        <w:rPr>
          <w:rFonts w:ascii="Arial" w:eastAsia="Times New Roman" w:hAnsi="Arial" w:cs="Arial"/>
          <w:color w:val="344051"/>
          <w:sz w:val="24"/>
          <w:szCs w:val="24"/>
        </w:rPr>
        <w:t>Research/Scholarship/Creative Activities</w:t>
      </w:r>
    </w:p>
    <w:p w:rsidR="00E05BD1" w:rsidRPr="00E05BD1" w:rsidRDefault="00E05BD1" w:rsidP="00E05BD1">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E05BD1">
        <w:rPr>
          <w:rFonts w:ascii="Arial" w:eastAsia="Times New Roman" w:hAnsi="Arial" w:cs="Arial"/>
          <w:color w:val="344051"/>
          <w:sz w:val="24"/>
          <w:szCs w:val="24"/>
        </w:rPr>
        <w:t>Promotion to associate or full professor requires review of a candidate’s record of scholarly activity by qualified peers.</w:t>
      </w:r>
    </w:p>
    <w:p w:rsidR="00E05BD1" w:rsidRPr="00E05BD1" w:rsidRDefault="00E05BD1" w:rsidP="00E05BD1">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E05BD1">
        <w:rPr>
          <w:rFonts w:ascii="Arial" w:eastAsia="Times New Roman" w:hAnsi="Arial" w:cs="Arial"/>
          <w:color w:val="344051"/>
          <w:sz w:val="24"/>
          <w:szCs w:val="24"/>
        </w:rPr>
        <w:t>Evaluation of research shall be based on the following criteria, with the academic units of the university assigning varying degrees of weight to each criterion.  Deficiencies in some criteria should be counterbalanced by superiority in others.</w:t>
      </w:r>
    </w:p>
    <w:p w:rsidR="00E05BD1" w:rsidRPr="00E05BD1" w:rsidRDefault="00E05BD1" w:rsidP="00E05BD1">
      <w:pPr>
        <w:numPr>
          <w:ilvl w:val="4"/>
          <w:numId w:val="5"/>
        </w:numPr>
        <w:shd w:val="clear" w:color="auto" w:fill="FFFFFF"/>
        <w:spacing w:before="100" w:beforeAutospacing="1" w:after="100" w:afterAutospacing="1" w:line="450" w:lineRule="atLeast"/>
        <w:ind w:left="1875"/>
        <w:rPr>
          <w:rFonts w:ascii="Arial" w:eastAsia="Times New Roman" w:hAnsi="Arial" w:cs="Arial"/>
          <w:color w:val="344051"/>
          <w:sz w:val="24"/>
          <w:szCs w:val="24"/>
        </w:rPr>
      </w:pPr>
      <w:r w:rsidRPr="00E05BD1">
        <w:rPr>
          <w:rFonts w:ascii="Arial" w:eastAsia="Times New Roman" w:hAnsi="Arial" w:cs="Arial"/>
          <w:color w:val="344051"/>
          <w:sz w:val="24"/>
          <w:szCs w:val="24"/>
        </w:rPr>
        <w:t xml:space="preserve">The publication of research in refereed journals or refereed online publications is a reliable indication of scholarly ability.  Consonant with the goals of the university, documented evidence of national </w:t>
      </w:r>
      <w:r w:rsidRPr="00E05BD1">
        <w:rPr>
          <w:rFonts w:ascii="Arial" w:eastAsia="Times New Roman" w:hAnsi="Arial" w:cs="Arial"/>
          <w:color w:val="344051"/>
          <w:sz w:val="24"/>
          <w:szCs w:val="24"/>
        </w:rPr>
        <w:lastRenderedPageBreak/>
        <w:t>recognition may be considered the most important criterion in evaluating scholarship for promotion to full professor. Consonant with the goals of the university, evidence of potential for national recognition may be considered the most important criterion evaluating scholarship for promotion to associate professor.</w:t>
      </w:r>
    </w:p>
    <w:p w:rsidR="00E05BD1" w:rsidRPr="00E05BD1" w:rsidRDefault="00E05BD1" w:rsidP="00E05BD1">
      <w:pPr>
        <w:numPr>
          <w:ilvl w:val="4"/>
          <w:numId w:val="5"/>
        </w:numPr>
        <w:shd w:val="clear" w:color="auto" w:fill="FFFFFF"/>
        <w:spacing w:before="100" w:beforeAutospacing="1" w:after="100" w:afterAutospacing="1" w:line="450" w:lineRule="atLeast"/>
        <w:ind w:left="1875"/>
        <w:rPr>
          <w:rFonts w:ascii="Arial" w:eastAsia="Times New Roman" w:hAnsi="Arial" w:cs="Arial"/>
          <w:color w:val="344051"/>
          <w:sz w:val="24"/>
          <w:szCs w:val="24"/>
        </w:rPr>
      </w:pPr>
      <w:r w:rsidRPr="00E05BD1">
        <w:rPr>
          <w:rFonts w:ascii="Arial" w:eastAsia="Times New Roman" w:hAnsi="Arial" w:cs="Arial"/>
          <w:color w:val="344051"/>
          <w:sz w:val="24"/>
          <w:szCs w:val="24"/>
        </w:rPr>
        <w:t>Books published by reputable firms and articles in refereed journals, reviewed by recognized scholars, are more significant than those that are not subjected to such rigorous examination. It should be emphasized that quality is more important than quantity.</w:t>
      </w:r>
    </w:p>
    <w:p w:rsidR="00E05BD1" w:rsidRPr="00E05BD1" w:rsidRDefault="00E05BD1" w:rsidP="00E05BD1">
      <w:pPr>
        <w:numPr>
          <w:ilvl w:val="4"/>
          <w:numId w:val="5"/>
        </w:numPr>
        <w:shd w:val="clear" w:color="auto" w:fill="FFFFFF"/>
        <w:spacing w:before="100" w:beforeAutospacing="1" w:after="100" w:afterAutospacing="1" w:line="450" w:lineRule="atLeast"/>
        <w:ind w:left="1875"/>
        <w:rPr>
          <w:rFonts w:ascii="Arial" w:eastAsia="Times New Roman" w:hAnsi="Arial" w:cs="Arial"/>
          <w:color w:val="344051"/>
          <w:sz w:val="24"/>
          <w:szCs w:val="24"/>
        </w:rPr>
      </w:pPr>
      <w:r w:rsidRPr="00E05BD1">
        <w:rPr>
          <w:rFonts w:ascii="Arial" w:eastAsia="Times New Roman" w:hAnsi="Arial" w:cs="Arial"/>
          <w:color w:val="344051"/>
          <w:sz w:val="24"/>
          <w:szCs w:val="24"/>
        </w:rPr>
        <w:t>Written reviews and evaluations by qualified external peers, either in person or aided by other forms of reports, or both, are appropriate for performances, compositions, and other artistic creations.</w:t>
      </w:r>
    </w:p>
    <w:p w:rsidR="00E05BD1" w:rsidRPr="00E05BD1" w:rsidRDefault="00E05BD1" w:rsidP="00E05BD1">
      <w:pPr>
        <w:numPr>
          <w:ilvl w:val="4"/>
          <w:numId w:val="5"/>
        </w:numPr>
        <w:shd w:val="clear" w:color="auto" w:fill="FFFFFF"/>
        <w:spacing w:before="100" w:beforeAutospacing="1" w:after="100" w:afterAutospacing="1" w:line="450" w:lineRule="atLeast"/>
        <w:ind w:left="1875"/>
        <w:rPr>
          <w:rFonts w:ascii="Arial" w:eastAsia="Times New Roman" w:hAnsi="Arial" w:cs="Arial"/>
          <w:color w:val="344051"/>
          <w:sz w:val="24"/>
          <w:szCs w:val="24"/>
        </w:rPr>
      </w:pPr>
      <w:r w:rsidRPr="00E05BD1">
        <w:rPr>
          <w:rFonts w:ascii="Arial" w:eastAsia="Times New Roman" w:hAnsi="Arial" w:cs="Arial"/>
          <w:color w:val="344051"/>
          <w:sz w:val="24"/>
          <w:szCs w:val="24"/>
        </w:rPr>
        <w:t>Professional scholarly papers presented at international, national, or regional meetings may be appropriate.</w:t>
      </w:r>
    </w:p>
    <w:p w:rsidR="00E05BD1" w:rsidRPr="00E05BD1" w:rsidRDefault="00E05BD1" w:rsidP="00E05BD1">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E05BD1">
        <w:rPr>
          <w:rFonts w:ascii="Arial" w:eastAsia="Times New Roman" w:hAnsi="Arial" w:cs="Arial"/>
          <w:color w:val="344051"/>
          <w:sz w:val="24"/>
          <w:szCs w:val="24"/>
        </w:rPr>
        <w:t>Service/Outreach and Professional Activities</w:t>
      </w:r>
    </w:p>
    <w:p w:rsidR="00E05BD1" w:rsidRPr="00E05BD1" w:rsidRDefault="00E05BD1" w:rsidP="00E05BD1">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E05BD1">
        <w:rPr>
          <w:rFonts w:ascii="Arial" w:eastAsia="Times New Roman" w:hAnsi="Arial" w:cs="Arial"/>
          <w:color w:val="344051"/>
          <w:sz w:val="24"/>
          <w:szCs w:val="24"/>
        </w:rPr>
        <w:t>Evaluation of the service component should be based on performance in three areas:</w:t>
      </w:r>
    </w:p>
    <w:p w:rsidR="00E05BD1" w:rsidRPr="00E05BD1" w:rsidRDefault="00E05BD1" w:rsidP="00E05BD1">
      <w:pPr>
        <w:numPr>
          <w:ilvl w:val="4"/>
          <w:numId w:val="5"/>
        </w:numPr>
        <w:shd w:val="clear" w:color="auto" w:fill="FFFFFF"/>
        <w:spacing w:before="100" w:beforeAutospacing="1" w:after="100" w:afterAutospacing="1" w:line="450" w:lineRule="atLeast"/>
        <w:ind w:left="1875"/>
        <w:rPr>
          <w:rFonts w:ascii="Arial" w:eastAsia="Times New Roman" w:hAnsi="Arial" w:cs="Arial"/>
          <w:color w:val="344051"/>
          <w:sz w:val="24"/>
          <w:szCs w:val="24"/>
        </w:rPr>
      </w:pPr>
      <w:r w:rsidRPr="00E05BD1">
        <w:rPr>
          <w:rFonts w:ascii="Arial" w:eastAsia="Times New Roman" w:hAnsi="Arial" w:cs="Arial"/>
          <w:color w:val="344051"/>
          <w:sz w:val="24"/>
          <w:szCs w:val="24"/>
        </w:rPr>
        <w:t>Public service to the community as defined by the university's role and mission;</w:t>
      </w:r>
    </w:p>
    <w:p w:rsidR="00E05BD1" w:rsidRPr="00E05BD1" w:rsidRDefault="00E05BD1" w:rsidP="00E05BD1">
      <w:pPr>
        <w:numPr>
          <w:ilvl w:val="4"/>
          <w:numId w:val="5"/>
        </w:numPr>
        <w:shd w:val="clear" w:color="auto" w:fill="FFFFFF"/>
        <w:spacing w:before="100" w:beforeAutospacing="1" w:after="100" w:afterAutospacing="1" w:line="450" w:lineRule="atLeast"/>
        <w:ind w:left="1875"/>
        <w:rPr>
          <w:rFonts w:ascii="Arial" w:eastAsia="Times New Roman" w:hAnsi="Arial" w:cs="Arial"/>
          <w:color w:val="344051"/>
          <w:sz w:val="24"/>
          <w:szCs w:val="24"/>
        </w:rPr>
      </w:pPr>
      <w:r w:rsidRPr="00E05BD1">
        <w:rPr>
          <w:rFonts w:ascii="Arial" w:eastAsia="Times New Roman" w:hAnsi="Arial" w:cs="Arial"/>
          <w:color w:val="344051"/>
          <w:sz w:val="24"/>
          <w:szCs w:val="24"/>
        </w:rPr>
        <w:t>Service to the university; and service within the bounds of the applicant's academic discipline; and</w:t>
      </w:r>
    </w:p>
    <w:p w:rsidR="00E05BD1" w:rsidRPr="00E05BD1" w:rsidRDefault="00E05BD1" w:rsidP="00E05BD1">
      <w:pPr>
        <w:numPr>
          <w:ilvl w:val="4"/>
          <w:numId w:val="5"/>
        </w:numPr>
        <w:shd w:val="clear" w:color="auto" w:fill="FFFFFF"/>
        <w:spacing w:before="100" w:beforeAutospacing="1" w:after="100" w:afterAutospacing="1" w:line="450" w:lineRule="atLeast"/>
        <w:ind w:left="1875"/>
        <w:rPr>
          <w:rFonts w:ascii="Arial" w:eastAsia="Times New Roman" w:hAnsi="Arial" w:cs="Arial"/>
          <w:color w:val="344051"/>
          <w:sz w:val="24"/>
          <w:szCs w:val="24"/>
        </w:rPr>
      </w:pPr>
      <w:r w:rsidRPr="00E05BD1">
        <w:rPr>
          <w:rFonts w:ascii="Arial" w:eastAsia="Times New Roman" w:hAnsi="Arial" w:cs="Arial"/>
          <w:color w:val="344051"/>
          <w:sz w:val="24"/>
          <w:szCs w:val="24"/>
        </w:rPr>
        <w:t>Budgeted assignment.</w:t>
      </w:r>
    </w:p>
    <w:p w:rsidR="00E05BD1" w:rsidRPr="00E05BD1" w:rsidRDefault="00E05BD1" w:rsidP="00E05BD1">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E05BD1">
        <w:rPr>
          <w:rFonts w:ascii="Arial" w:eastAsia="Times New Roman" w:hAnsi="Arial" w:cs="Arial"/>
          <w:color w:val="344051"/>
          <w:sz w:val="24"/>
          <w:szCs w:val="24"/>
        </w:rPr>
        <w:t xml:space="preserve">Evaluation should be based on all three areas although it is realized that differences in emphases may exist. The academic units of the university shall have the responsibility for determining the emphasis as well as the responsibility for determining specific criteria based on the individual's aspect of work. Evaluation shall be based on the following criteria, with the academic units of the university to which the faculty member belongs </w:t>
      </w:r>
      <w:r w:rsidRPr="00E05BD1">
        <w:rPr>
          <w:rFonts w:ascii="Arial" w:eastAsia="Times New Roman" w:hAnsi="Arial" w:cs="Arial"/>
          <w:color w:val="344051"/>
          <w:sz w:val="24"/>
          <w:szCs w:val="24"/>
        </w:rPr>
        <w:lastRenderedPageBreak/>
        <w:t>assigning varying degrees of weight to each criterion. These criteria should include: community service programs, public service consultation, university, committee and administrative responsibilities, and active contributions to professional associations. In each case, documentation of the evaluation process and criteria shall be as complete as possible. Specific evaluative criteria may be developed using the following as guidelines:</w:t>
      </w:r>
    </w:p>
    <w:p w:rsidR="00E05BD1" w:rsidRPr="00E05BD1" w:rsidRDefault="00E05BD1" w:rsidP="00E05BD1">
      <w:pPr>
        <w:numPr>
          <w:ilvl w:val="4"/>
          <w:numId w:val="5"/>
        </w:numPr>
        <w:shd w:val="clear" w:color="auto" w:fill="FFFFFF"/>
        <w:spacing w:before="100" w:beforeAutospacing="1" w:after="100" w:afterAutospacing="1" w:line="450" w:lineRule="atLeast"/>
        <w:ind w:left="1875"/>
        <w:rPr>
          <w:rFonts w:ascii="Arial" w:eastAsia="Times New Roman" w:hAnsi="Arial" w:cs="Arial"/>
          <w:color w:val="344051"/>
          <w:sz w:val="24"/>
          <w:szCs w:val="24"/>
        </w:rPr>
      </w:pPr>
      <w:r w:rsidRPr="00E05BD1">
        <w:rPr>
          <w:rFonts w:ascii="Arial" w:eastAsia="Times New Roman" w:hAnsi="Arial" w:cs="Arial"/>
          <w:color w:val="344051"/>
          <w:sz w:val="24"/>
          <w:szCs w:val="24"/>
        </w:rPr>
        <w:t>A description of the candidate's position that permits evaluation of performance in relation to assigned and budgeted duties. This should include a statement of the mission or purpose of the position and the objective(s) of the nominee's service unit, as well as the specific assigned tasks and responsibilities of the nominee.</w:t>
      </w:r>
    </w:p>
    <w:p w:rsidR="00E05BD1" w:rsidRPr="00E05BD1" w:rsidRDefault="00E05BD1" w:rsidP="00E05BD1">
      <w:pPr>
        <w:numPr>
          <w:ilvl w:val="4"/>
          <w:numId w:val="5"/>
        </w:numPr>
        <w:shd w:val="clear" w:color="auto" w:fill="FFFFFF"/>
        <w:spacing w:before="100" w:beforeAutospacing="1" w:after="100" w:afterAutospacing="1" w:line="450" w:lineRule="atLeast"/>
        <w:ind w:left="1875"/>
        <w:rPr>
          <w:rFonts w:ascii="Arial" w:eastAsia="Times New Roman" w:hAnsi="Arial" w:cs="Arial"/>
          <w:color w:val="344051"/>
          <w:sz w:val="24"/>
          <w:szCs w:val="24"/>
        </w:rPr>
      </w:pPr>
      <w:r w:rsidRPr="00E05BD1">
        <w:rPr>
          <w:rFonts w:ascii="Arial" w:eastAsia="Times New Roman" w:hAnsi="Arial" w:cs="Arial"/>
          <w:color w:val="344051"/>
          <w:sz w:val="24"/>
          <w:szCs w:val="24"/>
        </w:rPr>
        <w:t>An evaluation of the candidate's effectiveness, as judged by his or her impact on individuals, groups, or organizations served. This should include indices of the success of his/her service, in terms of improvement of communities, programs, operating agencies, production processes, or management practices. It should also include indications of client satisfaction with the service provided by the nominee, and of the magnitude and complexity of his/her work (as opposed to perfunctory activity that does not lead to useful results).</w:t>
      </w:r>
    </w:p>
    <w:p w:rsidR="00E05BD1" w:rsidRPr="00E05BD1" w:rsidRDefault="00E05BD1" w:rsidP="00E05BD1">
      <w:pPr>
        <w:numPr>
          <w:ilvl w:val="4"/>
          <w:numId w:val="5"/>
        </w:numPr>
        <w:shd w:val="clear" w:color="auto" w:fill="FFFFFF"/>
        <w:spacing w:before="100" w:beforeAutospacing="1" w:after="100" w:afterAutospacing="1" w:line="450" w:lineRule="atLeast"/>
        <w:ind w:left="1875"/>
        <w:rPr>
          <w:rFonts w:ascii="Arial" w:eastAsia="Times New Roman" w:hAnsi="Arial" w:cs="Arial"/>
          <w:color w:val="344051"/>
          <w:sz w:val="24"/>
          <w:szCs w:val="24"/>
        </w:rPr>
      </w:pPr>
      <w:r w:rsidRPr="00E05BD1">
        <w:rPr>
          <w:rFonts w:ascii="Arial" w:eastAsia="Times New Roman" w:hAnsi="Arial" w:cs="Arial"/>
          <w:color w:val="344051"/>
          <w:sz w:val="24"/>
          <w:szCs w:val="24"/>
        </w:rPr>
        <w:t xml:space="preserve">An appraisal of the candidate's local, regional and national stature. Although the achievement of national stature is sometimes difficult for public service faculty whose activities are primarily directed to groups within the State, the public service professional should take advantage of every opportunity to project his/her accomplishments among peers on a local, regional, and national basis. Service/outreach work is sometimes not publishable. The results may be in the form of direct consultations, planning reports, or instructional time directed largely to </w:t>
      </w:r>
      <w:r w:rsidRPr="00E05BD1">
        <w:rPr>
          <w:rFonts w:ascii="Arial" w:eastAsia="Times New Roman" w:hAnsi="Arial" w:cs="Arial"/>
          <w:color w:val="344051"/>
          <w:sz w:val="24"/>
          <w:szCs w:val="24"/>
        </w:rPr>
        <w:lastRenderedPageBreak/>
        <w:t>the recipients of university service programs. But certain aspects of service work are suitable for publication in professional journals. For example, unique techniques developed to motivate clients, or new approaches to the transfer and application of knowledge, would be of interest to peers in other public service programs across the nation.</w:t>
      </w:r>
    </w:p>
    <w:p w:rsidR="00E05BD1" w:rsidRPr="00E05BD1" w:rsidRDefault="00E05BD1" w:rsidP="00E05BD1">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E05BD1">
        <w:rPr>
          <w:rFonts w:ascii="Arial" w:eastAsia="Times New Roman" w:hAnsi="Arial" w:cs="Arial"/>
          <w:color w:val="344051"/>
          <w:sz w:val="24"/>
          <w:szCs w:val="24"/>
        </w:rPr>
        <w:t>General Process Guidelines at University Level</w:t>
      </w:r>
    </w:p>
    <w:p w:rsidR="00E05BD1" w:rsidRPr="00E05BD1" w:rsidRDefault="00E05BD1" w:rsidP="00E05BD1">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E05BD1">
        <w:rPr>
          <w:rFonts w:ascii="Arial" w:eastAsia="Times New Roman" w:hAnsi="Arial" w:cs="Arial"/>
          <w:color w:val="344051"/>
          <w:sz w:val="24"/>
          <w:szCs w:val="24"/>
        </w:rPr>
        <w:t>So that the decision process can be as objective as possible, each recommendation (forwarded from the department to a higher administrative level in the university) should be accompanied by complete and careful documentation of the candidate’s teaching performance, and/or public service contributions, and/or research. Although the areas of instruction, public service, and research are all considered important, certain exceptions may exist where evaluation may occur in one or the other area exclusively. In these cases, as well as in the general case, appropriate supervisory personnel shall clearly and adequately document the facts which justify the individual's promotion. The initiating unit may, if it deems it desirable, include information relative to the candidate's research activities, publication record, exceptional administrative performance, or other types of contributions. Additional procedures may be used by each university with approval of the Tennessee Board of Regents. For example, the university may wish to establish an interdisciplinary, university-level promotion review committee to review the individual unit recommendations.</w:t>
      </w:r>
    </w:p>
    <w:p w:rsidR="00E05BD1" w:rsidRPr="00E05BD1" w:rsidRDefault="00E05BD1" w:rsidP="00E05BD1">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E05BD1">
        <w:rPr>
          <w:rFonts w:ascii="Arial" w:eastAsia="Times New Roman" w:hAnsi="Arial" w:cs="Arial"/>
          <w:color w:val="344051"/>
          <w:sz w:val="24"/>
          <w:szCs w:val="24"/>
        </w:rPr>
        <w:t>General Process Guidelines at Board Level</w:t>
      </w:r>
    </w:p>
    <w:p w:rsidR="00E05BD1" w:rsidRPr="00E05BD1" w:rsidRDefault="00E05BD1" w:rsidP="00E05BD1">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E05BD1">
        <w:rPr>
          <w:rFonts w:ascii="Arial" w:eastAsia="Times New Roman" w:hAnsi="Arial" w:cs="Arial"/>
          <w:color w:val="344051"/>
          <w:sz w:val="24"/>
          <w:szCs w:val="24"/>
        </w:rPr>
        <w:t>A list of promotional recommendations should be forwarded by the president of the university to the Chancellor for his/her review. The Chancellor's recommendation will be forwarded to the Committee on Personnel and their recommendation forwarded to the Board.</w:t>
      </w:r>
    </w:p>
    <w:p w:rsidR="00E05BD1" w:rsidRPr="00E05BD1" w:rsidRDefault="00E05BD1" w:rsidP="00E05BD1">
      <w:pPr>
        <w:pBdr>
          <w:bottom w:val="single" w:sz="6" w:space="0" w:color="EAEAEA"/>
        </w:pBdr>
        <w:shd w:val="clear" w:color="auto" w:fill="FFFFFF"/>
        <w:spacing w:line="240" w:lineRule="auto"/>
        <w:outlineLvl w:val="1"/>
        <w:rPr>
          <w:rFonts w:ascii="inherit" w:eastAsia="Times New Roman" w:hAnsi="inherit" w:cs="Arial"/>
          <w:b/>
          <w:bCs/>
          <w:color w:val="344051"/>
          <w:sz w:val="29"/>
          <w:szCs w:val="29"/>
        </w:rPr>
      </w:pPr>
      <w:bookmarkStart w:id="9" w:name="exhibits"/>
      <w:bookmarkEnd w:id="9"/>
      <w:r w:rsidRPr="00E05BD1">
        <w:rPr>
          <w:rFonts w:ascii="inherit" w:eastAsia="Times New Roman" w:hAnsi="inherit" w:cs="Arial"/>
          <w:b/>
          <w:bCs/>
          <w:color w:val="344051"/>
          <w:sz w:val="29"/>
          <w:szCs w:val="29"/>
        </w:rPr>
        <w:lastRenderedPageBreak/>
        <w:t>Sources</w:t>
      </w:r>
    </w:p>
    <w:p w:rsidR="00E05BD1" w:rsidRPr="00E05BD1" w:rsidRDefault="00E05BD1" w:rsidP="00E05BD1">
      <w:pPr>
        <w:shd w:val="clear" w:color="auto" w:fill="FFFFFF"/>
        <w:spacing w:after="240" w:line="450" w:lineRule="atLeast"/>
        <w:rPr>
          <w:rFonts w:ascii="Arial" w:eastAsia="Times New Roman" w:hAnsi="Arial" w:cs="Arial"/>
          <w:color w:val="344051"/>
          <w:sz w:val="24"/>
          <w:szCs w:val="24"/>
        </w:rPr>
      </w:pPr>
      <w:r w:rsidRPr="00E05BD1">
        <w:rPr>
          <w:rFonts w:ascii="Arial" w:eastAsia="Times New Roman" w:hAnsi="Arial" w:cs="Arial"/>
          <w:color w:val="344051"/>
          <w:sz w:val="24"/>
          <w:szCs w:val="24"/>
        </w:rPr>
        <w:t>TBR Board Meeting: April 2, 2004; September 25, 2008; Board Meeting June 20, 2014</w:t>
      </w:r>
    </w:p>
    <w:p w:rsidR="00E05BD1" w:rsidRPr="00E05BD1" w:rsidRDefault="00E05BD1" w:rsidP="00E05BD1">
      <w:pPr>
        <w:shd w:val="clear" w:color="auto" w:fill="FFFFFF"/>
        <w:spacing w:after="240" w:line="450" w:lineRule="atLeast"/>
        <w:rPr>
          <w:rFonts w:ascii="Arial" w:eastAsia="Times New Roman" w:hAnsi="Arial" w:cs="Arial"/>
          <w:color w:val="344051"/>
          <w:sz w:val="24"/>
          <w:szCs w:val="24"/>
        </w:rPr>
      </w:pPr>
      <w:r w:rsidRPr="00E05BD1">
        <w:rPr>
          <w:rFonts w:ascii="Arial" w:eastAsia="Times New Roman" w:hAnsi="Arial" w:cs="Arial"/>
          <w:color w:val="344051"/>
          <w:sz w:val="24"/>
          <w:szCs w:val="24"/>
        </w:rPr>
        <w:t>This policy is a result of a comprehensive revision of former TBR Policy 5:02:02:00, Faculty Promotion.  The former policy contained provisions related to faculty promotion for both universities and community colleges.  The revision, approved by the Tennessee Board of Regents on April 2, 2004, created separate policies relative to faculty promotion for universities and community colleges.  Faculty members appointed prior to July 1, 2004, may elect to be considered for promotion under the provisions of Policy 5:02:02:00 or under the revised policy for a four-year phase-in period.  The revised policy will be applicable to all promotion actions taken on or subsequent to July 1, 2008, for faculty whose employment began on or after July 1, 2004.</w:t>
      </w:r>
    </w:p>
    <w:p w:rsidR="00E05BD1" w:rsidRPr="00E05BD1" w:rsidRDefault="00E05BD1" w:rsidP="00E05BD1">
      <w:pPr>
        <w:shd w:val="clear" w:color="auto" w:fill="FFFFFF"/>
        <w:spacing w:after="240" w:line="450" w:lineRule="atLeast"/>
        <w:rPr>
          <w:rFonts w:ascii="Arial" w:eastAsia="Times New Roman" w:hAnsi="Arial" w:cs="Arial"/>
          <w:color w:val="344051"/>
          <w:sz w:val="24"/>
          <w:szCs w:val="24"/>
        </w:rPr>
      </w:pPr>
      <w:r w:rsidRPr="00E05BD1">
        <w:rPr>
          <w:rFonts w:ascii="Arial" w:eastAsia="Times New Roman" w:hAnsi="Arial" w:cs="Arial"/>
          <w:color w:val="344051"/>
          <w:sz w:val="24"/>
          <w:szCs w:val="24"/>
        </w:rPr>
        <w:t>Note: Upon adoption of the former policy at the December 13, 1974 meeting, implementation of the Board-approved university criteria began on September 1, 1975, and no faculty experienced demotion in rank due to the new policies. Upon extending the policy to the technical institutes at the September 30, 1983 meeting, no technical institute faculty shall be demoted in rank as a result of the new provisions.</w:t>
      </w:r>
    </w:p>
    <w:p w:rsidR="00E05BD1" w:rsidRPr="00E05BD1" w:rsidRDefault="00E05BD1" w:rsidP="00E05BD1">
      <w:pPr>
        <w:pBdr>
          <w:bottom w:val="single" w:sz="6" w:space="0" w:color="EAEAEA"/>
        </w:pBdr>
        <w:shd w:val="clear" w:color="auto" w:fill="FFFFFF"/>
        <w:spacing w:line="240" w:lineRule="auto"/>
        <w:outlineLvl w:val="1"/>
        <w:rPr>
          <w:rFonts w:ascii="inherit" w:eastAsia="Times New Roman" w:hAnsi="inherit" w:cs="Arial"/>
          <w:b/>
          <w:bCs/>
          <w:color w:val="344051"/>
          <w:sz w:val="29"/>
          <w:szCs w:val="29"/>
        </w:rPr>
      </w:pPr>
      <w:r w:rsidRPr="00E05BD1">
        <w:rPr>
          <w:rFonts w:ascii="inherit" w:eastAsia="Times New Roman" w:hAnsi="inherit" w:cs="Arial"/>
          <w:b/>
          <w:bCs/>
          <w:color w:val="344051"/>
          <w:sz w:val="29"/>
          <w:szCs w:val="29"/>
        </w:rPr>
        <w:t>Related Policies</w:t>
      </w:r>
    </w:p>
    <w:p w:rsidR="00E05BD1" w:rsidRPr="00E05BD1" w:rsidRDefault="00E05BD1" w:rsidP="00E05BD1">
      <w:pPr>
        <w:numPr>
          <w:ilvl w:val="0"/>
          <w:numId w:val="6"/>
        </w:numPr>
        <w:shd w:val="clear" w:color="auto" w:fill="FFFFFF"/>
        <w:spacing w:before="100" w:beforeAutospacing="1" w:after="100" w:afterAutospacing="1" w:line="450" w:lineRule="atLeast"/>
        <w:ind w:left="375"/>
        <w:rPr>
          <w:rFonts w:ascii="Arial" w:eastAsia="Times New Roman" w:hAnsi="Arial" w:cs="Arial"/>
          <w:color w:val="344051"/>
          <w:sz w:val="24"/>
          <w:szCs w:val="24"/>
        </w:rPr>
      </w:pPr>
      <w:hyperlink r:id="rId5" w:history="1">
        <w:r w:rsidRPr="00E05BD1">
          <w:rPr>
            <w:rFonts w:ascii="Arial" w:eastAsia="Times New Roman" w:hAnsi="Arial" w:cs="Arial"/>
            <w:color w:val="787F8A"/>
            <w:sz w:val="24"/>
            <w:szCs w:val="24"/>
            <w:u w:val="single"/>
          </w:rPr>
          <w:t>Academic Tenure for Universities</w:t>
        </w:r>
      </w:hyperlink>
    </w:p>
    <w:p w:rsidR="00B61D7F" w:rsidRDefault="00B61D7F"/>
    <w:sectPr w:rsidR="00B61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33B4"/>
    <w:multiLevelType w:val="multilevel"/>
    <w:tmpl w:val="5AE6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E380C"/>
    <w:multiLevelType w:val="multilevel"/>
    <w:tmpl w:val="B42A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24106D"/>
    <w:multiLevelType w:val="multilevel"/>
    <w:tmpl w:val="C3B0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7B6050"/>
    <w:multiLevelType w:val="multilevel"/>
    <w:tmpl w:val="722A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F24A12"/>
    <w:multiLevelType w:val="multilevel"/>
    <w:tmpl w:val="CD2A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D83073"/>
    <w:multiLevelType w:val="multilevel"/>
    <w:tmpl w:val="DE2E1F4E"/>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start w:val="1"/>
      <w:numFmt w:val="decimal"/>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BD1"/>
    <w:rsid w:val="00B61D7F"/>
    <w:rsid w:val="00E05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2981E-D90B-4E5F-A719-4B9F017E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23063">
      <w:bodyDiv w:val="1"/>
      <w:marLeft w:val="0"/>
      <w:marRight w:val="0"/>
      <w:marTop w:val="0"/>
      <w:marBottom w:val="0"/>
      <w:divBdr>
        <w:top w:val="none" w:sz="0" w:space="0" w:color="auto"/>
        <w:left w:val="none" w:sz="0" w:space="0" w:color="auto"/>
        <w:bottom w:val="none" w:sz="0" w:space="0" w:color="auto"/>
        <w:right w:val="none" w:sz="0" w:space="0" w:color="auto"/>
      </w:divBdr>
      <w:divsChild>
        <w:div w:id="1577745877">
          <w:marLeft w:val="0"/>
          <w:marRight w:val="0"/>
          <w:marTop w:val="0"/>
          <w:marBottom w:val="0"/>
          <w:divBdr>
            <w:top w:val="none" w:sz="0" w:space="0" w:color="auto"/>
            <w:left w:val="none" w:sz="0" w:space="0" w:color="auto"/>
            <w:bottom w:val="none" w:sz="0" w:space="0" w:color="auto"/>
            <w:right w:val="none" w:sz="0" w:space="0" w:color="auto"/>
          </w:divBdr>
        </w:div>
        <w:div w:id="2101100858">
          <w:marLeft w:val="0"/>
          <w:marRight w:val="0"/>
          <w:marTop w:val="0"/>
          <w:marBottom w:val="0"/>
          <w:divBdr>
            <w:top w:val="none" w:sz="0" w:space="0" w:color="auto"/>
            <w:left w:val="none" w:sz="0" w:space="0" w:color="auto"/>
            <w:bottom w:val="none" w:sz="0" w:space="0" w:color="auto"/>
            <w:right w:val="none" w:sz="0" w:space="0" w:color="auto"/>
          </w:divBdr>
          <w:divsChild>
            <w:div w:id="1368943540">
              <w:marLeft w:val="0"/>
              <w:marRight w:val="0"/>
              <w:marTop w:val="0"/>
              <w:marBottom w:val="0"/>
              <w:divBdr>
                <w:top w:val="none" w:sz="0" w:space="0" w:color="auto"/>
                <w:left w:val="none" w:sz="0" w:space="0" w:color="auto"/>
                <w:bottom w:val="none" w:sz="0" w:space="0" w:color="auto"/>
                <w:right w:val="none" w:sz="0" w:space="0" w:color="auto"/>
              </w:divBdr>
              <w:divsChild>
                <w:div w:id="310057868">
                  <w:marLeft w:val="0"/>
                  <w:marRight w:val="0"/>
                  <w:marTop w:val="0"/>
                  <w:marBottom w:val="0"/>
                  <w:divBdr>
                    <w:top w:val="none" w:sz="0" w:space="0" w:color="auto"/>
                    <w:left w:val="none" w:sz="0" w:space="0" w:color="auto"/>
                    <w:bottom w:val="none" w:sz="0" w:space="0" w:color="auto"/>
                    <w:right w:val="none" w:sz="0" w:space="0" w:color="auto"/>
                  </w:divBdr>
                  <w:divsChild>
                    <w:div w:id="672143862">
                      <w:marLeft w:val="0"/>
                      <w:marRight w:val="0"/>
                      <w:marTop w:val="0"/>
                      <w:marBottom w:val="0"/>
                      <w:divBdr>
                        <w:top w:val="none" w:sz="0" w:space="0" w:color="auto"/>
                        <w:left w:val="none" w:sz="0" w:space="0" w:color="auto"/>
                        <w:bottom w:val="none" w:sz="0" w:space="0" w:color="auto"/>
                        <w:right w:val="none" w:sz="0" w:space="0" w:color="auto"/>
                      </w:divBdr>
                      <w:divsChild>
                        <w:div w:id="820467519">
                          <w:marLeft w:val="0"/>
                          <w:marRight w:val="0"/>
                          <w:marTop w:val="0"/>
                          <w:marBottom w:val="0"/>
                          <w:divBdr>
                            <w:top w:val="none" w:sz="0" w:space="0" w:color="auto"/>
                            <w:left w:val="none" w:sz="0" w:space="0" w:color="auto"/>
                            <w:bottom w:val="none" w:sz="0" w:space="0" w:color="auto"/>
                            <w:right w:val="none" w:sz="0" w:space="0" w:color="auto"/>
                          </w:divBdr>
                          <w:divsChild>
                            <w:div w:id="1334338727">
                              <w:marLeft w:val="0"/>
                              <w:marRight w:val="0"/>
                              <w:marTop w:val="0"/>
                              <w:marBottom w:val="0"/>
                              <w:divBdr>
                                <w:top w:val="none" w:sz="0" w:space="0" w:color="auto"/>
                                <w:left w:val="none" w:sz="0" w:space="0" w:color="auto"/>
                                <w:bottom w:val="none" w:sz="0" w:space="0" w:color="auto"/>
                                <w:right w:val="none" w:sz="0" w:space="0" w:color="auto"/>
                              </w:divBdr>
                              <w:divsChild>
                                <w:div w:id="34503020">
                                  <w:marLeft w:val="0"/>
                                  <w:marRight w:val="0"/>
                                  <w:marTop w:val="0"/>
                                  <w:marBottom w:val="240"/>
                                  <w:divBdr>
                                    <w:top w:val="none" w:sz="0" w:space="0" w:color="auto"/>
                                    <w:left w:val="none" w:sz="0" w:space="0" w:color="auto"/>
                                    <w:bottom w:val="single" w:sz="18" w:space="0" w:color="EAEAEA"/>
                                    <w:right w:val="none" w:sz="0" w:space="0" w:color="auto"/>
                                  </w:divBdr>
                                </w:div>
                                <w:div w:id="925118059">
                                  <w:marLeft w:val="0"/>
                                  <w:marRight w:val="0"/>
                                  <w:marTop w:val="0"/>
                                  <w:marBottom w:val="240"/>
                                  <w:divBdr>
                                    <w:top w:val="single" w:sz="6" w:space="0" w:color="CCCCCC"/>
                                    <w:left w:val="single" w:sz="6" w:space="0" w:color="CCCCCC"/>
                                    <w:bottom w:val="single" w:sz="6" w:space="0" w:color="CCCCCC"/>
                                    <w:right w:val="single" w:sz="6" w:space="0" w:color="CCCCCC"/>
                                  </w:divBdr>
                                  <w:divsChild>
                                    <w:div w:id="1775512927">
                                      <w:marLeft w:val="0"/>
                                      <w:marRight w:val="0"/>
                                      <w:marTop w:val="0"/>
                                      <w:marBottom w:val="0"/>
                                      <w:divBdr>
                                        <w:top w:val="none" w:sz="0" w:space="0" w:color="auto"/>
                                        <w:left w:val="none" w:sz="0" w:space="0" w:color="auto"/>
                                        <w:bottom w:val="none" w:sz="0" w:space="0" w:color="auto"/>
                                        <w:right w:val="none" w:sz="0" w:space="0" w:color="auto"/>
                                      </w:divBdr>
                                      <w:divsChild>
                                        <w:div w:id="555236828">
                                          <w:marLeft w:val="0"/>
                                          <w:marRight w:val="0"/>
                                          <w:marTop w:val="0"/>
                                          <w:marBottom w:val="0"/>
                                          <w:divBdr>
                                            <w:top w:val="none" w:sz="0" w:space="0" w:color="auto"/>
                                            <w:left w:val="none" w:sz="0" w:space="0" w:color="auto"/>
                                            <w:bottom w:val="none" w:sz="0" w:space="0" w:color="auto"/>
                                            <w:right w:val="none" w:sz="0" w:space="0" w:color="auto"/>
                                          </w:divBdr>
                                          <w:divsChild>
                                            <w:div w:id="945699781">
                                              <w:marLeft w:val="0"/>
                                              <w:marRight w:val="0"/>
                                              <w:marTop w:val="0"/>
                                              <w:marBottom w:val="150"/>
                                              <w:divBdr>
                                                <w:top w:val="none" w:sz="0" w:space="0" w:color="auto"/>
                                                <w:left w:val="none" w:sz="0" w:space="0" w:color="auto"/>
                                                <w:bottom w:val="none" w:sz="0" w:space="0" w:color="auto"/>
                                                <w:right w:val="none" w:sz="0" w:space="0" w:color="auto"/>
                                              </w:divBdr>
                                            </w:div>
                                          </w:divsChild>
                                        </w:div>
                                        <w:div w:id="992412134">
                                          <w:marLeft w:val="0"/>
                                          <w:marRight w:val="0"/>
                                          <w:marTop w:val="0"/>
                                          <w:marBottom w:val="0"/>
                                          <w:divBdr>
                                            <w:top w:val="none" w:sz="0" w:space="0" w:color="auto"/>
                                            <w:left w:val="none" w:sz="0" w:space="0" w:color="auto"/>
                                            <w:bottom w:val="none" w:sz="0" w:space="0" w:color="auto"/>
                                            <w:right w:val="none" w:sz="0" w:space="0" w:color="auto"/>
                                          </w:divBdr>
                                          <w:divsChild>
                                            <w:div w:id="3044315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50296738">
                              <w:marLeft w:val="0"/>
                              <w:marRight w:val="0"/>
                              <w:marTop w:val="0"/>
                              <w:marBottom w:val="240"/>
                              <w:divBdr>
                                <w:top w:val="none" w:sz="0" w:space="0" w:color="auto"/>
                                <w:left w:val="none" w:sz="0" w:space="0" w:color="auto"/>
                                <w:bottom w:val="single" w:sz="18" w:space="0" w:color="EAEAEA"/>
                                <w:right w:val="none" w:sz="0" w:space="0" w:color="auto"/>
                              </w:divBdr>
                            </w:div>
                            <w:div w:id="1564488458">
                              <w:marLeft w:val="0"/>
                              <w:marRight w:val="0"/>
                              <w:marTop w:val="0"/>
                              <w:marBottom w:val="240"/>
                              <w:divBdr>
                                <w:top w:val="none" w:sz="0" w:space="0" w:color="auto"/>
                                <w:left w:val="none" w:sz="0" w:space="0" w:color="auto"/>
                                <w:bottom w:val="single" w:sz="18" w:space="0" w:color="EAEAEA"/>
                                <w:right w:val="none" w:sz="0" w:space="0" w:color="auto"/>
                              </w:divBdr>
                            </w:div>
                            <w:div w:id="507646389">
                              <w:marLeft w:val="0"/>
                              <w:marRight w:val="0"/>
                              <w:marTop w:val="0"/>
                              <w:marBottom w:val="240"/>
                              <w:divBdr>
                                <w:top w:val="none" w:sz="0" w:space="0" w:color="auto"/>
                                <w:left w:val="none" w:sz="0" w:space="0" w:color="auto"/>
                                <w:bottom w:val="single" w:sz="18" w:space="0" w:color="EAEAEA"/>
                                <w:right w:val="none" w:sz="0" w:space="0" w:color="auto"/>
                              </w:divBdr>
                            </w:div>
                            <w:div w:id="1774083619">
                              <w:marLeft w:val="0"/>
                              <w:marRight w:val="0"/>
                              <w:marTop w:val="0"/>
                              <w:marBottom w:val="240"/>
                              <w:divBdr>
                                <w:top w:val="none" w:sz="0" w:space="0" w:color="auto"/>
                                <w:left w:val="none" w:sz="0" w:space="0" w:color="auto"/>
                                <w:bottom w:val="single" w:sz="18" w:space="0" w:color="EAEAEA"/>
                                <w:right w:val="none" w:sz="0" w:space="0" w:color="auto"/>
                              </w:divBdr>
                            </w:div>
                            <w:div w:id="687680303">
                              <w:marLeft w:val="0"/>
                              <w:marRight w:val="0"/>
                              <w:marTop w:val="0"/>
                              <w:marBottom w:val="0"/>
                              <w:divBdr>
                                <w:top w:val="none" w:sz="0" w:space="0" w:color="auto"/>
                                <w:left w:val="none" w:sz="0" w:space="0" w:color="auto"/>
                                <w:bottom w:val="none" w:sz="0" w:space="0" w:color="auto"/>
                                <w:right w:val="none" w:sz="0" w:space="0" w:color="auto"/>
                              </w:divBdr>
                              <w:divsChild>
                                <w:div w:id="460849731">
                                  <w:marLeft w:val="0"/>
                                  <w:marRight w:val="0"/>
                                  <w:marTop w:val="0"/>
                                  <w:marBottom w:val="240"/>
                                  <w:divBdr>
                                    <w:top w:val="none" w:sz="0" w:space="0" w:color="auto"/>
                                    <w:left w:val="none" w:sz="0" w:space="0" w:color="auto"/>
                                    <w:bottom w:val="single" w:sz="18" w:space="0" w:color="EAEAEA"/>
                                    <w:right w:val="none" w:sz="0" w:space="0" w:color="auto"/>
                                  </w:divBdr>
                                </w:div>
                              </w:divsChild>
                            </w:div>
                            <w:div w:id="878778918">
                              <w:marLeft w:val="0"/>
                              <w:marRight w:val="0"/>
                              <w:marTop w:val="0"/>
                              <w:marBottom w:val="240"/>
                              <w:divBdr>
                                <w:top w:val="none" w:sz="0" w:space="0" w:color="auto"/>
                                <w:left w:val="none" w:sz="0" w:space="0" w:color="auto"/>
                                <w:bottom w:val="single" w:sz="18" w:space="0" w:color="EAEAEA"/>
                                <w:right w:val="none" w:sz="0" w:space="0" w:color="auto"/>
                              </w:divBdr>
                            </w:div>
                            <w:div w:id="669219649">
                              <w:marLeft w:val="0"/>
                              <w:marRight w:val="0"/>
                              <w:marTop w:val="0"/>
                              <w:marBottom w:val="240"/>
                              <w:divBdr>
                                <w:top w:val="none" w:sz="0" w:space="0" w:color="auto"/>
                                <w:left w:val="none" w:sz="0" w:space="0" w:color="auto"/>
                                <w:bottom w:val="single" w:sz="18" w:space="0" w:color="EAEAEA"/>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licies.tbr.edu/policies/academic-tenure-univers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2663</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Sheen</dc:creator>
  <cp:keywords/>
  <dc:description/>
  <cp:lastModifiedBy>Mickey Sheen</cp:lastModifiedBy>
  <cp:revision>1</cp:revision>
  <dcterms:created xsi:type="dcterms:W3CDTF">2016-10-14T15:38:00Z</dcterms:created>
  <dcterms:modified xsi:type="dcterms:W3CDTF">2016-10-14T15:39:00Z</dcterms:modified>
</cp:coreProperties>
</file>