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694B" w:rsidRPr="009D694B" w:rsidRDefault="009D694B" w:rsidP="009D694B">
      <w:pPr>
        <w:shd w:val="clear" w:color="auto" w:fill="FFFFFF"/>
        <w:spacing w:after="150" w:line="600" w:lineRule="atLeast"/>
        <w:outlineLvl w:val="0"/>
        <w:rPr>
          <w:rFonts w:ascii="inherit" w:eastAsia="Times New Roman" w:hAnsi="inherit" w:cs="Arial"/>
          <w:b/>
          <w:bCs/>
          <w:color w:val="344051"/>
          <w:kern w:val="36"/>
          <w:sz w:val="45"/>
          <w:szCs w:val="45"/>
        </w:rPr>
      </w:pPr>
      <w:r w:rsidRPr="009D694B">
        <w:rPr>
          <w:rFonts w:ascii="inherit" w:eastAsia="Times New Roman" w:hAnsi="inherit" w:cs="Arial"/>
          <w:b/>
          <w:bCs/>
          <w:color w:val="344051"/>
          <w:kern w:val="36"/>
          <w:sz w:val="45"/>
          <w:szCs w:val="45"/>
        </w:rPr>
        <w:t>Faculty Appointments at Universities: 5:02:07:10</w:t>
      </w:r>
    </w:p>
    <w:p w:rsidR="009D694B" w:rsidRPr="009D694B" w:rsidRDefault="009D694B" w:rsidP="009D694B">
      <w:pPr>
        <w:pBdr>
          <w:bottom w:val="single" w:sz="6" w:space="0" w:color="EAEAEA"/>
        </w:pBdr>
        <w:shd w:val="clear" w:color="auto" w:fill="FFFFFF"/>
        <w:spacing w:line="240" w:lineRule="auto"/>
        <w:outlineLvl w:val="1"/>
        <w:rPr>
          <w:rFonts w:ascii="inherit" w:eastAsia="Times New Roman" w:hAnsi="inherit" w:cs="Arial"/>
          <w:b/>
          <w:bCs/>
          <w:color w:val="344051"/>
          <w:sz w:val="29"/>
          <w:szCs w:val="29"/>
        </w:rPr>
      </w:pPr>
      <w:bookmarkStart w:id="0" w:name="_GoBack"/>
      <w:bookmarkEnd w:id="0"/>
      <w:r w:rsidRPr="009D694B">
        <w:rPr>
          <w:rFonts w:ascii="inherit" w:eastAsia="Times New Roman" w:hAnsi="inherit" w:cs="Arial"/>
          <w:b/>
          <w:bCs/>
          <w:color w:val="344051"/>
          <w:sz w:val="29"/>
          <w:szCs w:val="29"/>
        </w:rPr>
        <w:t>Policy Area</w:t>
      </w:r>
    </w:p>
    <w:p w:rsidR="009D694B" w:rsidRPr="009D694B" w:rsidRDefault="009D694B" w:rsidP="009D694B">
      <w:pPr>
        <w:shd w:val="clear" w:color="auto" w:fill="FFFFFF"/>
        <w:spacing w:after="0" w:line="450" w:lineRule="atLeast"/>
        <w:rPr>
          <w:rFonts w:ascii="Arial" w:eastAsia="Times New Roman" w:hAnsi="Arial" w:cs="Arial"/>
          <w:color w:val="344051"/>
          <w:sz w:val="24"/>
          <w:szCs w:val="24"/>
        </w:rPr>
      </w:pPr>
      <w:r w:rsidRPr="009D694B">
        <w:rPr>
          <w:rFonts w:ascii="Arial" w:eastAsia="Times New Roman" w:hAnsi="Arial" w:cs="Arial"/>
          <w:color w:val="344051"/>
          <w:sz w:val="24"/>
          <w:szCs w:val="24"/>
        </w:rPr>
        <w:t>Personnel Policies</w:t>
      </w:r>
    </w:p>
    <w:p w:rsidR="009D694B" w:rsidRPr="009D694B" w:rsidRDefault="009D694B" w:rsidP="009D694B">
      <w:pPr>
        <w:pBdr>
          <w:bottom w:val="single" w:sz="6" w:space="0" w:color="EAEAEA"/>
        </w:pBdr>
        <w:shd w:val="clear" w:color="auto" w:fill="FFFFFF"/>
        <w:spacing w:line="240" w:lineRule="auto"/>
        <w:outlineLvl w:val="1"/>
        <w:rPr>
          <w:rFonts w:ascii="inherit" w:eastAsia="Times New Roman" w:hAnsi="inherit" w:cs="Arial"/>
          <w:b/>
          <w:bCs/>
          <w:color w:val="344051"/>
          <w:sz w:val="29"/>
          <w:szCs w:val="29"/>
        </w:rPr>
      </w:pPr>
      <w:r w:rsidRPr="009D694B">
        <w:rPr>
          <w:rFonts w:ascii="inherit" w:eastAsia="Times New Roman" w:hAnsi="inherit" w:cs="Arial"/>
          <w:b/>
          <w:bCs/>
          <w:color w:val="344051"/>
          <w:sz w:val="29"/>
          <w:szCs w:val="29"/>
        </w:rPr>
        <w:t>Applicable Divisions</w:t>
      </w:r>
    </w:p>
    <w:p w:rsidR="009D694B" w:rsidRPr="009D694B" w:rsidRDefault="009D694B" w:rsidP="009D694B">
      <w:pPr>
        <w:shd w:val="clear" w:color="auto" w:fill="FFFFFF"/>
        <w:spacing w:after="0" w:line="450" w:lineRule="atLeast"/>
        <w:rPr>
          <w:rFonts w:ascii="Arial" w:eastAsia="Times New Roman" w:hAnsi="Arial" w:cs="Arial"/>
          <w:color w:val="344051"/>
          <w:sz w:val="24"/>
          <w:szCs w:val="24"/>
        </w:rPr>
      </w:pPr>
      <w:r w:rsidRPr="009D694B">
        <w:rPr>
          <w:rFonts w:ascii="Arial" w:eastAsia="Times New Roman" w:hAnsi="Arial" w:cs="Arial"/>
          <w:color w:val="344051"/>
          <w:sz w:val="24"/>
          <w:szCs w:val="24"/>
        </w:rPr>
        <w:t>Universities</w:t>
      </w:r>
    </w:p>
    <w:p w:rsidR="009D694B" w:rsidRPr="009D694B" w:rsidRDefault="009D694B" w:rsidP="009D694B">
      <w:pPr>
        <w:pBdr>
          <w:bottom w:val="single" w:sz="6" w:space="0" w:color="EAEAEA"/>
        </w:pBdr>
        <w:shd w:val="clear" w:color="auto" w:fill="FFFFFF"/>
        <w:spacing w:line="240" w:lineRule="auto"/>
        <w:outlineLvl w:val="1"/>
        <w:rPr>
          <w:rFonts w:ascii="inherit" w:eastAsia="Times New Roman" w:hAnsi="inherit" w:cs="Arial"/>
          <w:b/>
          <w:bCs/>
          <w:color w:val="344051"/>
          <w:sz w:val="29"/>
          <w:szCs w:val="29"/>
        </w:rPr>
      </w:pPr>
      <w:bookmarkStart w:id="1" w:name="purpose"/>
      <w:bookmarkEnd w:id="1"/>
      <w:r w:rsidRPr="009D694B">
        <w:rPr>
          <w:rFonts w:ascii="inherit" w:eastAsia="Times New Roman" w:hAnsi="inherit" w:cs="Arial"/>
          <w:b/>
          <w:bCs/>
          <w:color w:val="344051"/>
          <w:sz w:val="29"/>
          <w:szCs w:val="29"/>
        </w:rPr>
        <w:t>Purpose</w:t>
      </w:r>
    </w:p>
    <w:p w:rsidR="009D694B" w:rsidRPr="009D694B" w:rsidRDefault="009D694B" w:rsidP="009D694B">
      <w:pPr>
        <w:shd w:val="clear" w:color="auto" w:fill="FFFFFF"/>
        <w:spacing w:after="240" w:line="450" w:lineRule="atLeast"/>
        <w:rPr>
          <w:rFonts w:ascii="Arial" w:eastAsia="Times New Roman" w:hAnsi="Arial" w:cs="Arial"/>
          <w:color w:val="344051"/>
          <w:sz w:val="24"/>
          <w:szCs w:val="24"/>
        </w:rPr>
      </w:pPr>
      <w:r w:rsidRPr="009D694B">
        <w:rPr>
          <w:rFonts w:ascii="Arial" w:eastAsia="Times New Roman" w:hAnsi="Arial" w:cs="Arial"/>
          <w:color w:val="344051"/>
          <w:sz w:val="24"/>
          <w:szCs w:val="24"/>
        </w:rPr>
        <w:t>The purpose of this policy is to establish the criteria and process regarding faculty appointments at universities governed by the Tennessee Board of Regents.</w:t>
      </w:r>
    </w:p>
    <w:p w:rsidR="009D694B" w:rsidRPr="009D694B" w:rsidRDefault="009D694B" w:rsidP="009D694B">
      <w:pPr>
        <w:pBdr>
          <w:bottom w:val="single" w:sz="6" w:space="0" w:color="EAEAEA"/>
        </w:pBdr>
        <w:shd w:val="clear" w:color="auto" w:fill="FFFFFF"/>
        <w:spacing w:line="240" w:lineRule="auto"/>
        <w:outlineLvl w:val="1"/>
        <w:rPr>
          <w:rFonts w:ascii="inherit" w:eastAsia="Times New Roman" w:hAnsi="inherit" w:cs="Arial"/>
          <w:b/>
          <w:bCs/>
          <w:color w:val="344051"/>
          <w:sz w:val="29"/>
          <w:szCs w:val="29"/>
        </w:rPr>
      </w:pPr>
      <w:bookmarkStart w:id="2" w:name="definitions"/>
      <w:bookmarkEnd w:id="2"/>
      <w:r w:rsidRPr="009D694B">
        <w:rPr>
          <w:rFonts w:ascii="inherit" w:eastAsia="Times New Roman" w:hAnsi="inherit" w:cs="Arial"/>
          <w:b/>
          <w:bCs/>
          <w:color w:val="344051"/>
          <w:sz w:val="29"/>
          <w:szCs w:val="29"/>
        </w:rPr>
        <w:t>Policy</w:t>
      </w:r>
    </w:p>
    <w:p w:rsidR="009D694B" w:rsidRPr="009D694B" w:rsidRDefault="009D694B" w:rsidP="009D694B">
      <w:pPr>
        <w:numPr>
          <w:ilvl w:val="0"/>
          <w:numId w:val="4"/>
        </w:numPr>
        <w:shd w:val="clear" w:color="auto" w:fill="FFFFFF"/>
        <w:spacing w:before="100" w:beforeAutospacing="1" w:after="100" w:afterAutospacing="1" w:line="450" w:lineRule="atLeast"/>
        <w:ind w:left="375"/>
        <w:rPr>
          <w:rFonts w:ascii="Arial" w:eastAsia="Times New Roman" w:hAnsi="Arial" w:cs="Arial"/>
          <w:color w:val="344051"/>
          <w:sz w:val="24"/>
          <w:szCs w:val="24"/>
        </w:rPr>
      </w:pPr>
      <w:bookmarkStart w:id="3" w:name="Introduction"/>
      <w:r w:rsidRPr="009D694B">
        <w:rPr>
          <w:rFonts w:ascii="Arial" w:eastAsia="Times New Roman" w:hAnsi="Arial" w:cs="Arial"/>
          <w:color w:val="787F8A"/>
          <w:sz w:val="24"/>
          <w:szCs w:val="24"/>
        </w:rPr>
        <w:t>Introduction</w:t>
      </w:r>
      <w:bookmarkEnd w:id="3"/>
    </w:p>
    <w:p w:rsidR="009D694B" w:rsidRPr="009D694B" w:rsidRDefault="009D694B" w:rsidP="009D694B">
      <w:pPr>
        <w:numPr>
          <w:ilvl w:val="1"/>
          <w:numId w:val="4"/>
        </w:numPr>
        <w:shd w:val="clear" w:color="auto" w:fill="FFFFFF"/>
        <w:spacing w:before="100" w:beforeAutospacing="1" w:after="100" w:afterAutospacing="1" w:line="450" w:lineRule="atLeast"/>
        <w:ind w:left="750"/>
        <w:rPr>
          <w:rFonts w:ascii="Arial" w:eastAsia="Times New Roman" w:hAnsi="Arial" w:cs="Arial"/>
          <w:color w:val="344051"/>
          <w:sz w:val="24"/>
          <w:szCs w:val="24"/>
        </w:rPr>
      </w:pPr>
      <w:r w:rsidRPr="009D694B">
        <w:rPr>
          <w:rFonts w:ascii="Arial" w:eastAsia="Times New Roman" w:hAnsi="Arial" w:cs="Arial"/>
          <w:color w:val="344051"/>
          <w:sz w:val="24"/>
          <w:szCs w:val="24"/>
        </w:rPr>
        <w:t>The following constitutes the types of faculty appointments that can be made in Tennessee Board of Regents’ universities including temporary, tenure-track, tenure, clinical-track, research, and coordinator appointments.</w:t>
      </w:r>
    </w:p>
    <w:p w:rsidR="009D694B" w:rsidRPr="009D694B" w:rsidRDefault="009D694B" w:rsidP="009D694B">
      <w:pPr>
        <w:numPr>
          <w:ilvl w:val="0"/>
          <w:numId w:val="4"/>
        </w:numPr>
        <w:shd w:val="clear" w:color="auto" w:fill="FFFFFF"/>
        <w:spacing w:before="100" w:beforeAutospacing="1" w:after="100" w:afterAutospacing="1" w:line="450" w:lineRule="atLeast"/>
        <w:ind w:left="375"/>
        <w:rPr>
          <w:rFonts w:ascii="Arial" w:eastAsia="Times New Roman" w:hAnsi="Arial" w:cs="Arial"/>
          <w:color w:val="344051"/>
          <w:sz w:val="24"/>
          <w:szCs w:val="24"/>
        </w:rPr>
      </w:pPr>
      <w:bookmarkStart w:id="4" w:name="Types-of-Appointments"/>
      <w:r w:rsidRPr="009D694B">
        <w:rPr>
          <w:rFonts w:ascii="Arial" w:eastAsia="Times New Roman" w:hAnsi="Arial" w:cs="Arial"/>
          <w:color w:val="787F8A"/>
          <w:sz w:val="24"/>
          <w:szCs w:val="24"/>
        </w:rPr>
        <w:t>Types of Appointments</w:t>
      </w:r>
      <w:bookmarkEnd w:id="4"/>
    </w:p>
    <w:p w:rsidR="009D694B" w:rsidRPr="009D694B" w:rsidRDefault="009D694B" w:rsidP="009D694B">
      <w:pPr>
        <w:numPr>
          <w:ilvl w:val="1"/>
          <w:numId w:val="4"/>
        </w:numPr>
        <w:shd w:val="clear" w:color="auto" w:fill="FFFFFF"/>
        <w:spacing w:before="100" w:beforeAutospacing="1" w:after="100" w:afterAutospacing="1" w:line="450" w:lineRule="atLeast"/>
        <w:ind w:left="750"/>
        <w:rPr>
          <w:rFonts w:ascii="Arial" w:eastAsia="Times New Roman" w:hAnsi="Arial" w:cs="Arial"/>
          <w:color w:val="344051"/>
          <w:sz w:val="24"/>
          <w:szCs w:val="24"/>
        </w:rPr>
      </w:pPr>
      <w:r w:rsidRPr="009D694B">
        <w:rPr>
          <w:rFonts w:ascii="Arial" w:eastAsia="Times New Roman" w:hAnsi="Arial" w:cs="Arial"/>
          <w:color w:val="344051"/>
          <w:sz w:val="24"/>
          <w:szCs w:val="24"/>
        </w:rPr>
        <w:t>Temporary Appointments are appointments for a specific purpose for a time appropriate to that purpose or for an unspecified period, which appointments may be terminated according to the terms of the contract of employment or appointment.</w:t>
      </w:r>
    </w:p>
    <w:p w:rsidR="009D694B" w:rsidRPr="009D694B" w:rsidRDefault="009D694B" w:rsidP="009D694B">
      <w:pPr>
        <w:numPr>
          <w:ilvl w:val="2"/>
          <w:numId w:val="4"/>
        </w:numPr>
        <w:shd w:val="clear" w:color="auto" w:fill="FFFFFF"/>
        <w:spacing w:before="100" w:beforeAutospacing="1" w:after="100" w:afterAutospacing="1" w:line="450" w:lineRule="atLeast"/>
        <w:ind w:left="1125"/>
        <w:rPr>
          <w:rFonts w:ascii="Arial" w:eastAsia="Times New Roman" w:hAnsi="Arial" w:cs="Arial"/>
          <w:color w:val="344051"/>
          <w:sz w:val="24"/>
          <w:szCs w:val="24"/>
        </w:rPr>
      </w:pPr>
      <w:r w:rsidRPr="009D694B">
        <w:rPr>
          <w:rFonts w:ascii="Arial" w:eastAsia="Times New Roman" w:hAnsi="Arial" w:cs="Arial"/>
          <w:color w:val="344051"/>
          <w:sz w:val="24"/>
          <w:szCs w:val="24"/>
        </w:rPr>
        <w:t>Temporary appointments ordinarily should be used only for lecturers, adjunct or part-time faculty, faculty employed to replace regular faculty on leave of absence, and faculty employed pursuant to grants or for projects funded in whole or in part by non-appropriated funds.</w:t>
      </w:r>
    </w:p>
    <w:p w:rsidR="009D694B" w:rsidRPr="009D694B" w:rsidRDefault="009D694B" w:rsidP="009D694B">
      <w:pPr>
        <w:numPr>
          <w:ilvl w:val="2"/>
          <w:numId w:val="4"/>
        </w:numPr>
        <w:shd w:val="clear" w:color="auto" w:fill="FFFFFF"/>
        <w:spacing w:before="100" w:beforeAutospacing="1" w:after="100" w:afterAutospacing="1" w:line="450" w:lineRule="atLeast"/>
        <w:ind w:left="1125"/>
        <w:rPr>
          <w:rFonts w:ascii="Arial" w:eastAsia="Times New Roman" w:hAnsi="Arial" w:cs="Arial"/>
          <w:color w:val="344051"/>
          <w:sz w:val="24"/>
          <w:szCs w:val="24"/>
        </w:rPr>
      </w:pPr>
      <w:r w:rsidRPr="009D694B">
        <w:rPr>
          <w:rFonts w:ascii="Arial" w:eastAsia="Times New Roman" w:hAnsi="Arial" w:cs="Arial"/>
          <w:color w:val="344051"/>
          <w:sz w:val="24"/>
          <w:szCs w:val="24"/>
        </w:rPr>
        <w:t xml:space="preserve">In addition, temporary appointments may be used for faculty employed on the basis of state appropriated funds in departments, divisions, or other academic units where the permanent and continued need for the position has </w:t>
      </w:r>
      <w:r w:rsidRPr="009D694B">
        <w:rPr>
          <w:rFonts w:ascii="Arial" w:eastAsia="Times New Roman" w:hAnsi="Arial" w:cs="Arial"/>
          <w:color w:val="344051"/>
          <w:sz w:val="24"/>
          <w:szCs w:val="24"/>
        </w:rPr>
        <w:lastRenderedPageBreak/>
        <w:t>not been established, provided that such appointments normally should not be in excess of three academic years.</w:t>
      </w:r>
    </w:p>
    <w:p w:rsidR="009D694B" w:rsidRPr="009D694B" w:rsidRDefault="009D694B" w:rsidP="009D694B">
      <w:pPr>
        <w:numPr>
          <w:ilvl w:val="2"/>
          <w:numId w:val="4"/>
        </w:numPr>
        <w:shd w:val="clear" w:color="auto" w:fill="FFFFFF"/>
        <w:spacing w:before="100" w:beforeAutospacing="1" w:after="100" w:afterAutospacing="1" w:line="450" w:lineRule="atLeast"/>
        <w:ind w:left="1125"/>
        <w:rPr>
          <w:rFonts w:ascii="Arial" w:eastAsia="Times New Roman" w:hAnsi="Arial" w:cs="Arial"/>
          <w:color w:val="344051"/>
          <w:sz w:val="24"/>
          <w:szCs w:val="24"/>
        </w:rPr>
      </w:pPr>
      <w:r w:rsidRPr="009D694B">
        <w:rPr>
          <w:rFonts w:ascii="Arial" w:eastAsia="Times New Roman" w:hAnsi="Arial" w:cs="Arial"/>
          <w:color w:val="344051"/>
          <w:sz w:val="24"/>
          <w:szCs w:val="24"/>
        </w:rPr>
        <w:t>After that, the position can be re-advertised, and the instructor can apply again and be hired if he/she is the best candidate.</w:t>
      </w:r>
    </w:p>
    <w:p w:rsidR="009D694B" w:rsidRPr="009D694B" w:rsidRDefault="009D694B" w:rsidP="009D694B">
      <w:pPr>
        <w:numPr>
          <w:ilvl w:val="2"/>
          <w:numId w:val="4"/>
        </w:numPr>
        <w:shd w:val="clear" w:color="auto" w:fill="FFFFFF"/>
        <w:spacing w:before="100" w:beforeAutospacing="1" w:after="100" w:afterAutospacing="1" w:line="450" w:lineRule="atLeast"/>
        <w:ind w:left="1125"/>
        <w:rPr>
          <w:rFonts w:ascii="Arial" w:eastAsia="Times New Roman" w:hAnsi="Arial" w:cs="Arial"/>
          <w:color w:val="344051"/>
          <w:sz w:val="24"/>
          <w:szCs w:val="24"/>
        </w:rPr>
      </w:pPr>
      <w:r w:rsidRPr="009D694B">
        <w:rPr>
          <w:rFonts w:ascii="Arial" w:eastAsia="Times New Roman" w:hAnsi="Arial" w:cs="Arial"/>
          <w:color w:val="344051"/>
          <w:sz w:val="24"/>
          <w:szCs w:val="24"/>
        </w:rPr>
        <w:t>Appointments of faculty members supported by more than fifty percent (50%) grant fund, or other soft money sources, may be approved by the university presidents for periods in excess of three years.</w:t>
      </w:r>
    </w:p>
    <w:p w:rsidR="009D694B" w:rsidRPr="009D694B" w:rsidRDefault="009D694B" w:rsidP="009D694B">
      <w:pPr>
        <w:numPr>
          <w:ilvl w:val="2"/>
          <w:numId w:val="4"/>
        </w:numPr>
        <w:shd w:val="clear" w:color="auto" w:fill="FFFFFF"/>
        <w:spacing w:before="100" w:beforeAutospacing="1" w:after="100" w:afterAutospacing="1" w:line="450" w:lineRule="atLeast"/>
        <w:ind w:left="1125"/>
        <w:rPr>
          <w:rFonts w:ascii="Arial" w:eastAsia="Times New Roman" w:hAnsi="Arial" w:cs="Arial"/>
          <w:color w:val="344051"/>
          <w:sz w:val="24"/>
          <w:szCs w:val="24"/>
        </w:rPr>
      </w:pPr>
      <w:r w:rsidRPr="009D694B">
        <w:rPr>
          <w:rFonts w:ascii="Arial" w:eastAsia="Times New Roman" w:hAnsi="Arial" w:cs="Arial"/>
          <w:color w:val="344051"/>
          <w:sz w:val="24"/>
          <w:szCs w:val="24"/>
        </w:rPr>
        <w:t>Temporary instructional faculty at instructor, senior instructor, or master instructor rank may be appointed to a three-year contract. Such a contract may be renewed after any satisfactory performance review.</w:t>
      </w:r>
    </w:p>
    <w:p w:rsidR="009D694B" w:rsidRPr="009D694B" w:rsidRDefault="009D694B" w:rsidP="009D694B">
      <w:pPr>
        <w:numPr>
          <w:ilvl w:val="2"/>
          <w:numId w:val="4"/>
        </w:numPr>
        <w:shd w:val="clear" w:color="auto" w:fill="FFFFFF"/>
        <w:spacing w:before="100" w:beforeAutospacing="1" w:after="100" w:afterAutospacing="1" w:line="450" w:lineRule="atLeast"/>
        <w:ind w:left="1125"/>
        <w:rPr>
          <w:rFonts w:ascii="Arial" w:eastAsia="Times New Roman" w:hAnsi="Arial" w:cs="Arial"/>
          <w:color w:val="344051"/>
          <w:sz w:val="24"/>
          <w:szCs w:val="24"/>
        </w:rPr>
      </w:pPr>
      <w:r w:rsidRPr="009D694B">
        <w:rPr>
          <w:rFonts w:ascii="Arial" w:eastAsia="Times New Roman" w:hAnsi="Arial" w:cs="Arial"/>
          <w:color w:val="344051"/>
          <w:sz w:val="24"/>
          <w:szCs w:val="24"/>
        </w:rPr>
        <w:t>Other extensions of temporary appointments for periods in excess of three (3) years require the approval of the Chancellor.</w:t>
      </w:r>
    </w:p>
    <w:p w:rsidR="009D694B" w:rsidRPr="009D694B" w:rsidRDefault="009D694B" w:rsidP="009D694B">
      <w:pPr>
        <w:numPr>
          <w:ilvl w:val="1"/>
          <w:numId w:val="4"/>
        </w:numPr>
        <w:shd w:val="clear" w:color="auto" w:fill="FFFFFF"/>
        <w:spacing w:before="100" w:beforeAutospacing="1" w:after="100" w:afterAutospacing="1" w:line="450" w:lineRule="atLeast"/>
        <w:ind w:left="750"/>
        <w:rPr>
          <w:rFonts w:ascii="Arial" w:eastAsia="Times New Roman" w:hAnsi="Arial" w:cs="Arial"/>
          <w:color w:val="344051"/>
          <w:sz w:val="24"/>
          <w:szCs w:val="24"/>
        </w:rPr>
      </w:pPr>
      <w:r w:rsidRPr="009D694B">
        <w:rPr>
          <w:rFonts w:ascii="Arial" w:eastAsia="Times New Roman" w:hAnsi="Arial" w:cs="Arial"/>
          <w:color w:val="344051"/>
          <w:sz w:val="24"/>
          <w:szCs w:val="24"/>
        </w:rPr>
        <w:t>Tenure-track Appointments are appointments for regular full-time faculty with academic rank, and may be for the academic or fiscal year.</w:t>
      </w:r>
    </w:p>
    <w:p w:rsidR="009D694B" w:rsidRPr="009D694B" w:rsidRDefault="009D694B" w:rsidP="009D694B">
      <w:pPr>
        <w:numPr>
          <w:ilvl w:val="2"/>
          <w:numId w:val="4"/>
        </w:numPr>
        <w:shd w:val="clear" w:color="auto" w:fill="FFFFFF"/>
        <w:spacing w:before="100" w:beforeAutospacing="1" w:after="100" w:afterAutospacing="1" w:line="450" w:lineRule="atLeast"/>
        <w:ind w:left="1125"/>
        <w:rPr>
          <w:rFonts w:ascii="Arial" w:eastAsia="Times New Roman" w:hAnsi="Arial" w:cs="Arial"/>
          <w:color w:val="344051"/>
          <w:sz w:val="24"/>
          <w:szCs w:val="24"/>
        </w:rPr>
      </w:pPr>
      <w:r w:rsidRPr="009D694B">
        <w:rPr>
          <w:rFonts w:ascii="Arial" w:eastAsia="Times New Roman" w:hAnsi="Arial" w:cs="Arial"/>
          <w:color w:val="344051"/>
          <w:sz w:val="24"/>
          <w:szCs w:val="24"/>
        </w:rPr>
        <w:t>Tenure-track appointments are for faculty who are employed in a probationary period of employment prior to consideration for tenure.</w:t>
      </w:r>
    </w:p>
    <w:p w:rsidR="009D694B" w:rsidRPr="009D694B" w:rsidRDefault="009D694B" w:rsidP="009D694B">
      <w:pPr>
        <w:numPr>
          <w:ilvl w:val="2"/>
          <w:numId w:val="4"/>
        </w:numPr>
        <w:shd w:val="clear" w:color="auto" w:fill="FFFFFF"/>
        <w:spacing w:before="100" w:beforeAutospacing="1" w:after="100" w:afterAutospacing="1" w:line="450" w:lineRule="atLeast"/>
        <w:ind w:left="1125"/>
        <w:rPr>
          <w:rFonts w:ascii="Arial" w:eastAsia="Times New Roman" w:hAnsi="Arial" w:cs="Arial"/>
          <w:color w:val="344051"/>
          <w:sz w:val="24"/>
          <w:szCs w:val="24"/>
        </w:rPr>
      </w:pPr>
      <w:r w:rsidRPr="009D694B">
        <w:rPr>
          <w:rFonts w:ascii="Arial" w:eastAsia="Times New Roman" w:hAnsi="Arial" w:cs="Arial"/>
          <w:color w:val="344051"/>
          <w:sz w:val="24"/>
          <w:szCs w:val="24"/>
        </w:rPr>
        <w:t>Tenure-track appointments shall not include any right to permanent or continuous employment, shall not create any manner of legal right, interest, or expectancy of renewal or any other type of appointment, and shall be subject to annual renewal by the institution.</w:t>
      </w:r>
    </w:p>
    <w:p w:rsidR="009D694B" w:rsidRPr="009D694B" w:rsidRDefault="009D694B" w:rsidP="009D694B">
      <w:pPr>
        <w:numPr>
          <w:ilvl w:val="1"/>
          <w:numId w:val="4"/>
        </w:numPr>
        <w:shd w:val="clear" w:color="auto" w:fill="FFFFFF"/>
        <w:spacing w:before="100" w:beforeAutospacing="1" w:after="100" w:afterAutospacing="1" w:line="450" w:lineRule="atLeast"/>
        <w:ind w:left="750"/>
        <w:rPr>
          <w:rFonts w:ascii="Arial" w:eastAsia="Times New Roman" w:hAnsi="Arial" w:cs="Arial"/>
          <w:color w:val="344051"/>
          <w:sz w:val="24"/>
          <w:szCs w:val="24"/>
        </w:rPr>
      </w:pPr>
      <w:r w:rsidRPr="009D694B">
        <w:rPr>
          <w:rFonts w:ascii="Arial" w:eastAsia="Times New Roman" w:hAnsi="Arial" w:cs="Arial"/>
          <w:color w:val="344051"/>
          <w:sz w:val="24"/>
          <w:szCs w:val="24"/>
        </w:rPr>
        <w:t>Tenure Appointments are appointments of full-time faculty who have been awarded tenure by the Board pursuant to the provisions of this policy.</w:t>
      </w:r>
    </w:p>
    <w:p w:rsidR="009D694B" w:rsidRPr="009D694B" w:rsidRDefault="009D694B" w:rsidP="009D694B">
      <w:pPr>
        <w:numPr>
          <w:ilvl w:val="2"/>
          <w:numId w:val="4"/>
        </w:numPr>
        <w:shd w:val="clear" w:color="auto" w:fill="FFFFFF"/>
        <w:spacing w:before="100" w:beforeAutospacing="1" w:after="100" w:afterAutospacing="1" w:line="450" w:lineRule="atLeast"/>
        <w:ind w:left="1125"/>
        <w:rPr>
          <w:rFonts w:ascii="Arial" w:eastAsia="Times New Roman" w:hAnsi="Arial" w:cs="Arial"/>
          <w:color w:val="344051"/>
          <w:sz w:val="24"/>
          <w:szCs w:val="24"/>
        </w:rPr>
      </w:pPr>
      <w:r w:rsidRPr="009D694B">
        <w:rPr>
          <w:rFonts w:ascii="Arial" w:eastAsia="Times New Roman" w:hAnsi="Arial" w:cs="Arial"/>
          <w:color w:val="344051"/>
          <w:sz w:val="24"/>
          <w:szCs w:val="24"/>
        </w:rPr>
        <w:t>To protect academic freedom, tenure appointments include the assurance of continued employment for the academic year for an indefinite period, subject to expiration, relinquishment, or termination of tenure as hereinafter provided.</w:t>
      </w:r>
    </w:p>
    <w:p w:rsidR="009D694B" w:rsidRPr="009D694B" w:rsidRDefault="009D694B" w:rsidP="009D694B">
      <w:pPr>
        <w:numPr>
          <w:ilvl w:val="2"/>
          <w:numId w:val="4"/>
        </w:numPr>
        <w:shd w:val="clear" w:color="auto" w:fill="FFFFFF"/>
        <w:spacing w:before="100" w:beforeAutospacing="1" w:after="100" w:afterAutospacing="1" w:line="450" w:lineRule="atLeast"/>
        <w:ind w:left="1125"/>
        <w:rPr>
          <w:rFonts w:ascii="Arial" w:eastAsia="Times New Roman" w:hAnsi="Arial" w:cs="Arial"/>
          <w:color w:val="344051"/>
          <w:sz w:val="24"/>
          <w:szCs w:val="24"/>
        </w:rPr>
      </w:pPr>
      <w:r w:rsidRPr="009D694B">
        <w:rPr>
          <w:rFonts w:ascii="Arial" w:eastAsia="Times New Roman" w:hAnsi="Arial" w:cs="Arial"/>
          <w:color w:val="344051"/>
          <w:sz w:val="24"/>
          <w:szCs w:val="24"/>
        </w:rPr>
        <w:t>Such appointments do not include assurance of continued employment at any specified salary, position, or employment during summer sessions or inter-sessions.</w:t>
      </w:r>
    </w:p>
    <w:p w:rsidR="009D694B" w:rsidRPr="009D694B" w:rsidRDefault="009D694B" w:rsidP="009D694B">
      <w:pPr>
        <w:numPr>
          <w:ilvl w:val="1"/>
          <w:numId w:val="4"/>
        </w:numPr>
        <w:shd w:val="clear" w:color="auto" w:fill="FFFFFF"/>
        <w:spacing w:before="100" w:beforeAutospacing="1" w:after="100" w:afterAutospacing="1" w:line="450" w:lineRule="atLeast"/>
        <w:ind w:left="750"/>
        <w:rPr>
          <w:rFonts w:ascii="Arial" w:eastAsia="Times New Roman" w:hAnsi="Arial" w:cs="Arial"/>
          <w:color w:val="344051"/>
          <w:sz w:val="24"/>
          <w:szCs w:val="24"/>
        </w:rPr>
      </w:pPr>
      <w:r w:rsidRPr="009D694B">
        <w:rPr>
          <w:rFonts w:ascii="Arial" w:eastAsia="Times New Roman" w:hAnsi="Arial" w:cs="Arial"/>
          <w:color w:val="344051"/>
          <w:sz w:val="24"/>
          <w:szCs w:val="24"/>
        </w:rPr>
        <w:lastRenderedPageBreak/>
        <w:t>Clinical-track Appointments are full-time faculty appointments; are non-</w:t>
      </w:r>
      <w:proofErr w:type="spellStart"/>
      <w:r w:rsidRPr="009D694B">
        <w:rPr>
          <w:rFonts w:ascii="Arial" w:eastAsia="Times New Roman" w:hAnsi="Arial" w:cs="Arial"/>
          <w:color w:val="344051"/>
          <w:sz w:val="24"/>
          <w:szCs w:val="24"/>
        </w:rPr>
        <w:t>tenurable</w:t>
      </w:r>
      <w:proofErr w:type="spellEnd"/>
      <w:r w:rsidRPr="009D694B">
        <w:rPr>
          <w:rFonts w:ascii="Arial" w:eastAsia="Times New Roman" w:hAnsi="Arial" w:cs="Arial"/>
          <w:color w:val="344051"/>
          <w:sz w:val="24"/>
          <w:szCs w:val="24"/>
        </w:rPr>
        <w:t xml:space="preserve"> appointments for a fixed term; are renewable; permit promotion in rank; and permit conversion of the appointment to tenure- track at any time prior to but not later than the expiration of the first three-year term, depending on funding availability and faculty performance.</w:t>
      </w:r>
    </w:p>
    <w:p w:rsidR="009D694B" w:rsidRPr="009D694B" w:rsidRDefault="009D694B" w:rsidP="009D694B">
      <w:pPr>
        <w:numPr>
          <w:ilvl w:val="2"/>
          <w:numId w:val="4"/>
        </w:numPr>
        <w:shd w:val="clear" w:color="auto" w:fill="FFFFFF"/>
        <w:spacing w:before="100" w:beforeAutospacing="1" w:after="100" w:afterAutospacing="1" w:line="450" w:lineRule="atLeast"/>
        <w:ind w:left="1125"/>
        <w:rPr>
          <w:rFonts w:ascii="Arial" w:eastAsia="Times New Roman" w:hAnsi="Arial" w:cs="Arial"/>
          <w:color w:val="344051"/>
          <w:sz w:val="24"/>
          <w:szCs w:val="24"/>
        </w:rPr>
      </w:pPr>
      <w:r w:rsidRPr="009D694B">
        <w:rPr>
          <w:rFonts w:ascii="Arial" w:eastAsia="Times New Roman" w:hAnsi="Arial" w:cs="Arial"/>
          <w:color w:val="344051"/>
          <w:sz w:val="24"/>
          <w:szCs w:val="24"/>
        </w:rPr>
        <w:t>In instances where the appointment is converted to tenure-track, the three (3) years served in the Clinical-track appointment, at the discretion of the president, may be credited toward the individual’s probationary status.</w:t>
      </w:r>
    </w:p>
    <w:p w:rsidR="009D694B" w:rsidRPr="009D694B" w:rsidRDefault="009D694B" w:rsidP="009D694B">
      <w:pPr>
        <w:numPr>
          <w:ilvl w:val="2"/>
          <w:numId w:val="4"/>
        </w:numPr>
        <w:shd w:val="clear" w:color="auto" w:fill="FFFFFF"/>
        <w:spacing w:before="100" w:beforeAutospacing="1" w:after="100" w:afterAutospacing="1" w:line="450" w:lineRule="atLeast"/>
        <w:ind w:left="1125"/>
        <w:rPr>
          <w:rFonts w:ascii="Arial" w:eastAsia="Times New Roman" w:hAnsi="Arial" w:cs="Arial"/>
          <w:color w:val="344051"/>
          <w:sz w:val="24"/>
          <w:szCs w:val="24"/>
        </w:rPr>
      </w:pPr>
      <w:r w:rsidRPr="009D694B">
        <w:rPr>
          <w:rFonts w:ascii="Arial" w:eastAsia="Times New Roman" w:hAnsi="Arial" w:cs="Arial"/>
          <w:color w:val="344051"/>
          <w:sz w:val="24"/>
          <w:szCs w:val="24"/>
        </w:rPr>
        <w:t>Faculty in this classification participate in the academic programs by providing professional services, by exposing students to their professional expertise, and by directing students’ educational experiences in clinical/professional settings where the faculty members practice.</w:t>
      </w:r>
    </w:p>
    <w:p w:rsidR="009D694B" w:rsidRPr="009D694B" w:rsidRDefault="009D694B" w:rsidP="009D694B">
      <w:pPr>
        <w:numPr>
          <w:ilvl w:val="2"/>
          <w:numId w:val="4"/>
        </w:numPr>
        <w:shd w:val="clear" w:color="auto" w:fill="FFFFFF"/>
        <w:spacing w:before="100" w:beforeAutospacing="1" w:after="100" w:afterAutospacing="1" w:line="450" w:lineRule="atLeast"/>
        <w:ind w:left="1125"/>
        <w:rPr>
          <w:rFonts w:ascii="Arial" w:eastAsia="Times New Roman" w:hAnsi="Arial" w:cs="Arial"/>
          <w:color w:val="344051"/>
          <w:sz w:val="24"/>
          <w:szCs w:val="24"/>
        </w:rPr>
      </w:pPr>
      <w:r w:rsidRPr="009D694B">
        <w:rPr>
          <w:rFonts w:ascii="Arial" w:eastAsia="Times New Roman" w:hAnsi="Arial" w:cs="Arial"/>
          <w:color w:val="344051"/>
          <w:sz w:val="24"/>
          <w:szCs w:val="24"/>
        </w:rPr>
        <w:t>Clinical-track appointments may be supported, in whole or in part, by appropriated funds or funding from grants or contracts, from clinical practice or clinical/professional facilities, or from other sources.</w:t>
      </w:r>
    </w:p>
    <w:p w:rsidR="009D694B" w:rsidRPr="009D694B" w:rsidRDefault="009D694B" w:rsidP="009D694B">
      <w:pPr>
        <w:numPr>
          <w:ilvl w:val="1"/>
          <w:numId w:val="4"/>
        </w:numPr>
        <w:shd w:val="clear" w:color="auto" w:fill="FFFFFF"/>
        <w:spacing w:before="100" w:beforeAutospacing="1" w:after="100" w:afterAutospacing="1" w:line="450" w:lineRule="atLeast"/>
        <w:ind w:left="750"/>
        <w:rPr>
          <w:rFonts w:ascii="Arial" w:eastAsia="Times New Roman" w:hAnsi="Arial" w:cs="Arial"/>
          <w:color w:val="344051"/>
          <w:sz w:val="24"/>
          <w:szCs w:val="24"/>
        </w:rPr>
      </w:pPr>
      <w:r w:rsidRPr="009D694B">
        <w:rPr>
          <w:rFonts w:ascii="Arial" w:eastAsia="Times New Roman" w:hAnsi="Arial" w:cs="Arial"/>
          <w:color w:val="344051"/>
          <w:sz w:val="24"/>
          <w:szCs w:val="24"/>
        </w:rPr>
        <w:t>Research-track Appointments are full-time faculty appointments; are non-</w:t>
      </w:r>
      <w:proofErr w:type="spellStart"/>
      <w:r w:rsidRPr="009D694B">
        <w:rPr>
          <w:rFonts w:ascii="Arial" w:eastAsia="Times New Roman" w:hAnsi="Arial" w:cs="Arial"/>
          <w:color w:val="344051"/>
          <w:sz w:val="24"/>
          <w:szCs w:val="24"/>
        </w:rPr>
        <w:t>tenurable</w:t>
      </w:r>
      <w:proofErr w:type="spellEnd"/>
      <w:r w:rsidRPr="009D694B">
        <w:rPr>
          <w:rFonts w:ascii="Arial" w:eastAsia="Times New Roman" w:hAnsi="Arial" w:cs="Arial"/>
          <w:color w:val="344051"/>
          <w:sz w:val="24"/>
          <w:szCs w:val="24"/>
        </w:rPr>
        <w:t xml:space="preserve"> for fixed terms; are renewable; permit promotion in rank; and permit conversion of the appointment to tenure track at any time prior to but no later than the expiration of the first three-year term, depending on funding availability and faculty performance.</w:t>
      </w:r>
    </w:p>
    <w:p w:rsidR="009D694B" w:rsidRPr="009D694B" w:rsidRDefault="009D694B" w:rsidP="009D694B">
      <w:pPr>
        <w:numPr>
          <w:ilvl w:val="2"/>
          <w:numId w:val="4"/>
        </w:numPr>
        <w:shd w:val="clear" w:color="auto" w:fill="FFFFFF"/>
        <w:spacing w:before="100" w:beforeAutospacing="1" w:after="100" w:afterAutospacing="1" w:line="450" w:lineRule="atLeast"/>
        <w:ind w:left="1125"/>
        <w:rPr>
          <w:rFonts w:ascii="Arial" w:eastAsia="Times New Roman" w:hAnsi="Arial" w:cs="Arial"/>
          <w:color w:val="344051"/>
          <w:sz w:val="24"/>
          <w:szCs w:val="24"/>
        </w:rPr>
      </w:pPr>
      <w:r w:rsidRPr="009D694B">
        <w:rPr>
          <w:rFonts w:ascii="Arial" w:eastAsia="Times New Roman" w:hAnsi="Arial" w:cs="Arial"/>
          <w:color w:val="344051"/>
          <w:sz w:val="24"/>
          <w:szCs w:val="24"/>
        </w:rPr>
        <w:t>In instances where the appointment is converted to tenure-track, the three (3) years served in the Research-track appointment, at the discretion of the president, may be credited toward the individual’s probationary status.</w:t>
      </w:r>
    </w:p>
    <w:p w:rsidR="009D694B" w:rsidRPr="009D694B" w:rsidRDefault="009D694B" w:rsidP="009D694B">
      <w:pPr>
        <w:numPr>
          <w:ilvl w:val="2"/>
          <w:numId w:val="4"/>
        </w:numPr>
        <w:shd w:val="clear" w:color="auto" w:fill="FFFFFF"/>
        <w:spacing w:before="100" w:beforeAutospacing="1" w:after="100" w:afterAutospacing="1" w:line="450" w:lineRule="atLeast"/>
        <w:ind w:left="1125"/>
        <w:rPr>
          <w:rFonts w:ascii="Arial" w:eastAsia="Times New Roman" w:hAnsi="Arial" w:cs="Arial"/>
          <w:color w:val="344051"/>
          <w:sz w:val="24"/>
          <w:szCs w:val="24"/>
        </w:rPr>
      </w:pPr>
      <w:r w:rsidRPr="009D694B">
        <w:rPr>
          <w:rFonts w:ascii="Arial" w:eastAsia="Times New Roman" w:hAnsi="Arial" w:cs="Arial"/>
          <w:color w:val="344051"/>
          <w:sz w:val="24"/>
          <w:szCs w:val="24"/>
        </w:rPr>
        <w:t>Faculty in this classification participate in the academic programs by conducting independent research projects and by mentoring students involved in the research process.</w:t>
      </w:r>
    </w:p>
    <w:p w:rsidR="009D694B" w:rsidRPr="009D694B" w:rsidRDefault="009D694B" w:rsidP="009D694B">
      <w:pPr>
        <w:numPr>
          <w:ilvl w:val="2"/>
          <w:numId w:val="4"/>
        </w:numPr>
        <w:shd w:val="clear" w:color="auto" w:fill="FFFFFF"/>
        <w:spacing w:before="100" w:beforeAutospacing="1" w:after="100" w:afterAutospacing="1" w:line="450" w:lineRule="atLeast"/>
        <w:ind w:left="1125"/>
        <w:rPr>
          <w:rFonts w:ascii="Arial" w:eastAsia="Times New Roman" w:hAnsi="Arial" w:cs="Arial"/>
          <w:color w:val="344051"/>
          <w:sz w:val="24"/>
          <w:szCs w:val="24"/>
        </w:rPr>
      </w:pPr>
      <w:r w:rsidRPr="009D694B">
        <w:rPr>
          <w:rFonts w:ascii="Arial" w:eastAsia="Times New Roman" w:hAnsi="Arial" w:cs="Arial"/>
          <w:color w:val="344051"/>
          <w:sz w:val="24"/>
          <w:szCs w:val="24"/>
        </w:rPr>
        <w:t>Research-track appointments may be supported, in whole or in part, by appropriated funds or funding form grants or contracts, or other sources.</w:t>
      </w:r>
    </w:p>
    <w:p w:rsidR="009D694B" w:rsidRPr="009D694B" w:rsidRDefault="009D694B" w:rsidP="009D694B">
      <w:pPr>
        <w:numPr>
          <w:ilvl w:val="1"/>
          <w:numId w:val="4"/>
        </w:numPr>
        <w:shd w:val="clear" w:color="auto" w:fill="FFFFFF"/>
        <w:spacing w:before="100" w:beforeAutospacing="1" w:after="100" w:afterAutospacing="1" w:line="450" w:lineRule="atLeast"/>
        <w:ind w:left="750"/>
        <w:rPr>
          <w:rFonts w:ascii="Arial" w:eastAsia="Times New Roman" w:hAnsi="Arial" w:cs="Arial"/>
          <w:color w:val="344051"/>
          <w:sz w:val="24"/>
          <w:szCs w:val="24"/>
        </w:rPr>
      </w:pPr>
      <w:r w:rsidRPr="009D694B">
        <w:rPr>
          <w:rFonts w:ascii="Arial" w:eastAsia="Times New Roman" w:hAnsi="Arial" w:cs="Arial"/>
          <w:color w:val="344051"/>
          <w:sz w:val="24"/>
          <w:szCs w:val="24"/>
        </w:rPr>
        <w:lastRenderedPageBreak/>
        <w:t>Coordinator Appointments are non-</w:t>
      </w:r>
      <w:proofErr w:type="spellStart"/>
      <w:r w:rsidRPr="009D694B">
        <w:rPr>
          <w:rFonts w:ascii="Arial" w:eastAsia="Times New Roman" w:hAnsi="Arial" w:cs="Arial"/>
          <w:color w:val="344051"/>
          <w:sz w:val="24"/>
          <w:szCs w:val="24"/>
        </w:rPr>
        <w:t>tenurable</w:t>
      </w:r>
      <w:proofErr w:type="spellEnd"/>
      <w:r w:rsidRPr="009D694B">
        <w:rPr>
          <w:rFonts w:ascii="Arial" w:eastAsia="Times New Roman" w:hAnsi="Arial" w:cs="Arial"/>
          <w:color w:val="344051"/>
          <w:sz w:val="24"/>
          <w:szCs w:val="24"/>
        </w:rPr>
        <w:t>, renewable appointments for fixed terms.</w:t>
      </w:r>
    </w:p>
    <w:p w:rsidR="009D694B" w:rsidRPr="009D694B" w:rsidRDefault="009D694B" w:rsidP="009D694B">
      <w:pPr>
        <w:numPr>
          <w:ilvl w:val="2"/>
          <w:numId w:val="4"/>
        </w:numPr>
        <w:shd w:val="clear" w:color="auto" w:fill="FFFFFF"/>
        <w:spacing w:before="100" w:beforeAutospacing="1" w:after="100" w:afterAutospacing="1" w:line="450" w:lineRule="atLeast"/>
        <w:ind w:left="1125"/>
        <w:rPr>
          <w:rFonts w:ascii="Arial" w:eastAsia="Times New Roman" w:hAnsi="Arial" w:cs="Arial"/>
          <w:color w:val="344051"/>
          <w:sz w:val="24"/>
          <w:szCs w:val="24"/>
        </w:rPr>
      </w:pPr>
      <w:r w:rsidRPr="009D694B">
        <w:rPr>
          <w:rFonts w:ascii="Arial" w:eastAsia="Times New Roman" w:hAnsi="Arial" w:cs="Arial"/>
          <w:color w:val="344051"/>
          <w:sz w:val="24"/>
          <w:szCs w:val="24"/>
        </w:rPr>
        <w:t>Coordinators teach and provide administrative services within the academic departments.</w:t>
      </w:r>
    </w:p>
    <w:p w:rsidR="009D694B" w:rsidRPr="009D694B" w:rsidRDefault="009D694B" w:rsidP="009D694B">
      <w:pPr>
        <w:numPr>
          <w:ilvl w:val="2"/>
          <w:numId w:val="4"/>
        </w:numPr>
        <w:shd w:val="clear" w:color="auto" w:fill="FFFFFF"/>
        <w:spacing w:before="100" w:beforeAutospacing="1" w:after="100" w:afterAutospacing="1" w:line="450" w:lineRule="atLeast"/>
        <w:ind w:left="1125"/>
        <w:rPr>
          <w:rFonts w:ascii="Arial" w:eastAsia="Times New Roman" w:hAnsi="Arial" w:cs="Arial"/>
          <w:color w:val="344051"/>
          <w:sz w:val="24"/>
          <w:szCs w:val="24"/>
        </w:rPr>
      </w:pPr>
      <w:r w:rsidRPr="009D694B">
        <w:rPr>
          <w:rFonts w:ascii="Arial" w:eastAsia="Times New Roman" w:hAnsi="Arial" w:cs="Arial"/>
          <w:color w:val="344051"/>
          <w:sz w:val="24"/>
          <w:szCs w:val="24"/>
        </w:rPr>
        <w:t>They devote a preponderance of their time to faculty responsibilities including, but not limited to, teaching, advising, and student mentoring.</w:t>
      </w:r>
    </w:p>
    <w:p w:rsidR="009D694B" w:rsidRPr="009D694B" w:rsidRDefault="009D694B" w:rsidP="009D694B">
      <w:pPr>
        <w:numPr>
          <w:ilvl w:val="2"/>
          <w:numId w:val="4"/>
        </w:numPr>
        <w:shd w:val="clear" w:color="auto" w:fill="FFFFFF"/>
        <w:spacing w:before="100" w:beforeAutospacing="1" w:after="100" w:afterAutospacing="1" w:line="450" w:lineRule="atLeast"/>
        <w:ind w:left="1125"/>
        <w:rPr>
          <w:rFonts w:ascii="Arial" w:eastAsia="Times New Roman" w:hAnsi="Arial" w:cs="Arial"/>
          <w:color w:val="344051"/>
          <w:sz w:val="24"/>
          <w:szCs w:val="24"/>
        </w:rPr>
      </w:pPr>
      <w:r w:rsidRPr="009D694B">
        <w:rPr>
          <w:rFonts w:ascii="Arial" w:eastAsia="Times New Roman" w:hAnsi="Arial" w:cs="Arial"/>
          <w:color w:val="344051"/>
          <w:sz w:val="24"/>
          <w:szCs w:val="24"/>
        </w:rPr>
        <w:t>Coordinators may also have responsibility for administering special academic projects, systems support, and other administrative services. </w:t>
      </w:r>
    </w:p>
    <w:p w:rsidR="009D694B" w:rsidRPr="009D694B" w:rsidRDefault="009D694B" w:rsidP="009D694B">
      <w:pPr>
        <w:pBdr>
          <w:bottom w:val="single" w:sz="6" w:space="0" w:color="EAEAEA"/>
        </w:pBdr>
        <w:shd w:val="clear" w:color="auto" w:fill="FFFFFF"/>
        <w:spacing w:line="240" w:lineRule="auto"/>
        <w:outlineLvl w:val="1"/>
        <w:rPr>
          <w:rFonts w:ascii="inherit" w:eastAsia="Times New Roman" w:hAnsi="inherit" w:cs="Arial"/>
          <w:b/>
          <w:bCs/>
          <w:color w:val="344051"/>
          <w:sz w:val="29"/>
          <w:szCs w:val="29"/>
        </w:rPr>
      </w:pPr>
      <w:bookmarkStart w:id="5" w:name="exhibits"/>
      <w:bookmarkEnd w:id="5"/>
      <w:r w:rsidRPr="009D694B">
        <w:rPr>
          <w:rFonts w:ascii="inherit" w:eastAsia="Times New Roman" w:hAnsi="inherit" w:cs="Arial"/>
          <w:b/>
          <w:bCs/>
          <w:color w:val="344051"/>
          <w:sz w:val="29"/>
          <w:szCs w:val="29"/>
        </w:rPr>
        <w:t>Sources</w:t>
      </w:r>
    </w:p>
    <w:p w:rsidR="009D694B" w:rsidRPr="009D694B" w:rsidRDefault="009D694B" w:rsidP="009D694B">
      <w:pPr>
        <w:shd w:val="clear" w:color="auto" w:fill="FFFFFF"/>
        <w:spacing w:after="240" w:line="450" w:lineRule="atLeast"/>
        <w:rPr>
          <w:rFonts w:ascii="Arial" w:eastAsia="Times New Roman" w:hAnsi="Arial" w:cs="Arial"/>
          <w:color w:val="344051"/>
          <w:sz w:val="24"/>
          <w:szCs w:val="24"/>
        </w:rPr>
      </w:pPr>
      <w:r w:rsidRPr="009D694B">
        <w:rPr>
          <w:rFonts w:ascii="Arial" w:eastAsia="Times New Roman" w:hAnsi="Arial" w:cs="Arial"/>
          <w:color w:val="344051"/>
          <w:sz w:val="24"/>
          <w:szCs w:val="24"/>
        </w:rPr>
        <w:t>TBR Board Meeting April 2, 2004; Board Meeting June 20, 2014.</w:t>
      </w:r>
    </w:p>
    <w:p w:rsidR="009D694B" w:rsidRPr="009D694B" w:rsidRDefault="009D694B" w:rsidP="009D694B">
      <w:pPr>
        <w:pBdr>
          <w:bottom w:val="single" w:sz="6" w:space="0" w:color="EAEAEA"/>
        </w:pBdr>
        <w:shd w:val="clear" w:color="auto" w:fill="FFFFFF"/>
        <w:spacing w:line="240" w:lineRule="auto"/>
        <w:outlineLvl w:val="1"/>
        <w:rPr>
          <w:rFonts w:ascii="inherit" w:eastAsia="Times New Roman" w:hAnsi="inherit" w:cs="Arial"/>
          <w:b/>
          <w:bCs/>
          <w:color w:val="344051"/>
          <w:sz w:val="29"/>
          <w:szCs w:val="29"/>
        </w:rPr>
      </w:pPr>
      <w:r w:rsidRPr="009D694B">
        <w:rPr>
          <w:rFonts w:ascii="inherit" w:eastAsia="Times New Roman" w:hAnsi="inherit" w:cs="Arial"/>
          <w:b/>
          <w:bCs/>
          <w:color w:val="344051"/>
          <w:sz w:val="29"/>
          <w:szCs w:val="29"/>
        </w:rPr>
        <w:t>Related Policies</w:t>
      </w:r>
    </w:p>
    <w:p w:rsidR="009D694B" w:rsidRPr="009D694B" w:rsidRDefault="009D694B" w:rsidP="009D694B">
      <w:pPr>
        <w:numPr>
          <w:ilvl w:val="0"/>
          <w:numId w:val="5"/>
        </w:numPr>
        <w:shd w:val="clear" w:color="auto" w:fill="FFFFFF"/>
        <w:spacing w:before="100" w:beforeAutospacing="1" w:after="100" w:afterAutospacing="1" w:line="450" w:lineRule="atLeast"/>
        <w:ind w:left="375"/>
        <w:rPr>
          <w:rFonts w:ascii="Arial" w:eastAsia="Times New Roman" w:hAnsi="Arial" w:cs="Arial"/>
          <w:color w:val="344051"/>
          <w:sz w:val="24"/>
          <w:szCs w:val="24"/>
        </w:rPr>
      </w:pPr>
      <w:hyperlink r:id="rId5" w:history="1">
        <w:r w:rsidRPr="009D694B">
          <w:rPr>
            <w:rFonts w:ascii="Arial" w:eastAsia="Times New Roman" w:hAnsi="Arial" w:cs="Arial"/>
            <w:color w:val="787F8A"/>
            <w:sz w:val="24"/>
            <w:szCs w:val="24"/>
            <w:u w:val="single"/>
          </w:rPr>
          <w:t>Personnel Transactions &amp; Recommended Forms</w:t>
        </w:r>
      </w:hyperlink>
    </w:p>
    <w:p w:rsidR="000D75CE" w:rsidRDefault="000D75CE"/>
    <w:sectPr w:rsidR="000D75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4C6AE4"/>
    <w:multiLevelType w:val="multilevel"/>
    <w:tmpl w:val="D3CA9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2603A60"/>
    <w:multiLevelType w:val="multilevel"/>
    <w:tmpl w:val="49047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7057240"/>
    <w:multiLevelType w:val="multilevel"/>
    <w:tmpl w:val="A6B04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C651B6F"/>
    <w:multiLevelType w:val="multilevel"/>
    <w:tmpl w:val="4AE80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60322C7"/>
    <w:multiLevelType w:val="multilevel"/>
    <w:tmpl w:val="D4321C3A"/>
    <w:lvl w:ilvl="0">
      <w:start w:val="1"/>
      <w:numFmt w:val="upperRoman"/>
      <w:lvlText w:val="%1."/>
      <w:lvlJc w:val="right"/>
      <w:pPr>
        <w:tabs>
          <w:tab w:val="num" w:pos="720"/>
        </w:tabs>
        <w:ind w:left="720" w:hanging="360"/>
      </w:p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94B"/>
    <w:rsid w:val="000D75CE"/>
    <w:rsid w:val="009D69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C8AF86-C7A6-4337-A20C-E4EDA8D00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5099051">
      <w:bodyDiv w:val="1"/>
      <w:marLeft w:val="0"/>
      <w:marRight w:val="0"/>
      <w:marTop w:val="0"/>
      <w:marBottom w:val="0"/>
      <w:divBdr>
        <w:top w:val="none" w:sz="0" w:space="0" w:color="auto"/>
        <w:left w:val="none" w:sz="0" w:space="0" w:color="auto"/>
        <w:bottom w:val="none" w:sz="0" w:space="0" w:color="auto"/>
        <w:right w:val="none" w:sz="0" w:space="0" w:color="auto"/>
      </w:divBdr>
      <w:divsChild>
        <w:div w:id="255525396">
          <w:marLeft w:val="0"/>
          <w:marRight w:val="0"/>
          <w:marTop w:val="0"/>
          <w:marBottom w:val="0"/>
          <w:divBdr>
            <w:top w:val="none" w:sz="0" w:space="0" w:color="auto"/>
            <w:left w:val="none" w:sz="0" w:space="0" w:color="auto"/>
            <w:bottom w:val="none" w:sz="0" w:space="0" w:color="auto"/>
            <w:right w:val="none" w:sz="0" w:space="0" w:color="auto"/>
          </w:divBdr>
        </w:div>
        <w:div w:id="173303921">
          <w:marLeft w:val="0"/>
          <w:marRight w:val="0"/>
          <w:marTop w:val="0"/>
          <w:marBottom w:val="0"/>
          <w:divBdr>
            <w:top w:val="none" w:sz="0" w:space="0" w:color="auto"/>
            <w:left w:val="none" w:sz="0" w:space="0" w:color="auto"/>
            <w:bottom w:val="none" w:sz="0" w:space="0" w:color="auto"/>
            <w:right w:val="none" w:sz="0" w:space="0" w:color="auto"/>
          </w:divBdr>
          <w:divsChild>
            <w:div w:id="388458774">
              <w:marLeft w:val="0"/>
              <w:marRight w:val="0"/>
              <w:marTop w:val="0"/>
              <w:marBottom w:val="0"/>
              <w:divBdr>
                <w:top w:val="none" w:sz="0" w:space="0" w:color="auto"/>
                <w:left w:val="none" w:sz="0" w:space="0" w:color="auto"/>
                <w:bottom w:val="none" w:sz="0" w:space="0" w:color="auto"/>
                <w:right w:val="none" w:sz="0" w:space="0" w:color="auto"/>
              </w:divBdr>
              <w:divsChild>
                <w:div w:id="409734776">
                  <w:marLeft w:val="0"/>
                  <w:marRight w:val="0"/>
                  <w:marTop w:val="0"/>
                  <w:marBottom w:val="0"/>
                  <w:divBdr>
                    <w:top w:val="none" w:sz="0" w:space="0" w:color="auto"/>
                    <w:left w:val="none" w:sz="0" w:space="0" w:color="auto"/>
                    <w:bottom w:val="none" w:sz="0" w:space="0" w:color="auto"/>
                    <w:right w:val="none" w:sz="0" w:space="0" w:color="auto"/>
                  </w:divBdr>
                  <w:divsChild>
                    <w:div w:id="1359969119">
                      <w:marLeft w:val="0"/>
                      <w:marRight w:val="0"/>
                      <w:marTop w:val="0"/>
                      <w:marBottom w:val="0"/>
                      <w:divBdr>
                        <w:top w:val="none" w:sz="0" w:space="0" w:color="auto"/>
                        <w:left w:val="none" w:sz="0" w:space="0" w:color="auto"/>
                        <w:bottom w:val="none" w:sz="0" w:space="0" w:color="auto"/>
                        <w:right w:val="none" w:sz="0" w:space="0" w:color="auto"/>
                      </w:divBdr>
                      <w:divsChild>
                        <w:div w:id="311103548">
                          <w:marLeft w:val="0"/>
                          <w:marRight w:val="0"/>
                          <w:marTop w:val="0"/>
                          <w:marBottom w:val="0"/>
                          <w:divBdr>
                            <w:top w:val="none" w:sz="0" w:space="0" w:color="auto"/>
                            <w:left w:val="none" w:sz="0" w:space="0" w:color="auto"/>
                            <w:bottom w:val="none" w:sz="0" w:space="0" w:color="auto"/>
                            <w:right w:val="none" w:sz="0" w:space="0" w:color="auto"/>
                          </w:divBdr>
                          <w:divsChild>
                            <w:div w:id="966741882">
                              <w:marLeft w:val="0"/>
                              <w:marRight w:val="0"/>
                              <w:marTop w:val="0"/>
                              <w:marBottom w:val="0"/>
                              <w:divBdr>
                                <w:top w:val="none" w:sz="0" w:space="0" w:color="auto"/>
                                <w:left w:val="none" w:sz="0" w:space="0" w:color="auto"/>
                                <w:bottom w:val="none" w:sz="0" w:space="0" w:color="auto"/>
                                <w:right w:val="none" w:sz="0" w:space="0" w:color="auto"/>
                              </w:divBdr>
                              <w:divsChild>
                                <w:div w:id="846021866">
                                  <w:marLeft w:val="0"/>
                                  <w:marRight w:val="0"/>
                                  <w:marTop w:val="0"/>
                                  <w:marBottom w:val="240"/>
                                  <w:divBdr>
                                    <w:top w:val="none" w:sz="0" w:space="0" w:color="auto"/>
                                    <w:left w:val="none" w:sz="0" w:space="0" w:color="auto"/>
                                    <w:bottom w:val="single" w:sz="18" w:space="0" w:color="EAEAEA"/>
                                    <w:right w:val="none" w:sz="0" w:space="0" w:color="auto"/>
                                  </w:divBdr>
                                </w:div>
                                <w:div w:id="294139355">
                                  <w:marLeft w:val="0"/>
                                  <w:marRight w:val="0"/>
                                  <w:marTop w:val="0"/>
                                  <w:marBottom w:val="240"/>
                                  <w:divBdr>
                                    <w:top w:val="single" w:sz="6" w:space="0" w:color="CCCCCC"/>
                                    <w:left w:val="single" w:sz="6" w:space="0" w:color="CCCCCC"/>
                                    <w:bottom w:val="single" w:sz="6" w:space="0" w:color="CCCCCC"/>
                                    <w:right w:val="single" w:sz="6" w:space="0" w:color="CCCCCC"/>
                                  </w:divBdr>
                                  <w:divsChild>
                                    <w:div w:id="596980646">
                                      <w:marLeft w:val="0"/>
                                      <w:marRight w:val="0"/>
                                      <w:marTop w:val="0"/>
                                      <w:marBottom w:val="0"/>
                                      <w:divBdr>
                                        <w:top w:val="none" w:sz="0" w:space="0" w:color="auto"/>
                                        <w:left w:val="none" w:sz="0" w:space="0" w:color="auto"/>
                                        <w:bottom w:val="none" w:sz="0" w:space="0" w:color="auto"/>
                                        <w:right w:val="none" w:sz="0" w:space="0" w:color="auto"/>
                                      </w:divBdr>
                                      <w:divsChild>
                                        <w:div w:id="1531066933">
                                          <w:marLeft w:val="0"/>
                                          <w:marRight w:val="0"/>
                                          <w:marTop w:val="0"/>
                                          <w:marBottom w:val="0"/>
                                          <w:divBdr>
                                            <w:top w:val="none" w:sz="0" w:space="0" w:color="auto"/>
                                            <w:left w:val="none" w:sz="0" w:space="0" w:color="auto"/>
                                            <w:bottom w:val="none" w:sz="0" w:space="0" w:color="auto"/>
                                            <w:right w:val="none" w:sz="0" w:space="0" w:color="auto"/>
                                          </w:divBdr>
                                          <w:divsChild>
                                            <w:div w:id="1206287651">
                                              <w:marLeft w:val="0"/>
                                              <w:marRight w:val="0"/>
                                              <w:marTop w:val="0"/>
                                              <w:marBottom w:val="150"/>
                                              <w:divBdr>
                                                <w:top w:val="none" w:sz="0" w:space="0" w:color="auto"/>
                                                <w:left w:val="none" w:sz="0" w:space="0" w:color="auto"/>
                                                <w:bottom w:val="none" w:sz="0" w:space="0" w:color="auto"/>
                                                <w:right w:val="none" w:sz="0" w:space="0" w:color="auto"/>
                                              </w:divBdr>
                                            </w:div>
                                          </w:divsChild>
                                        </w:div>
                                        <w:div w:id="1947469532">
                                          <w:marLeft w:val="0"/>
                                          <w:marRight w:val="0"/>
                                          <w:marTop w:val="0"/>
                                          <w:marBottom w:val="0"/>
                                          <w:divBdr>
                                            <w:top w:val="none" w:sz="0" w:space="0" w:color="auto"/>
                                            <w:left w:val="none" w:sz="0" w:space="0" w:color="auto"/>
                                            <w:bottom w:val="none" w:sz="0" w:space="0" w:color="auto"/>
                                            <w:right w:val="none" w:sz="0" w:space="0" w:color="auto"/>
                                          </w:divBdr>
                                          <w:divsChild>
                                            <w:div w:id="211505725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90463828">
                              <w:marLeft w:val="0"/>
                              <w:marRight w:val="0"/>
                              <w:marTop w:val="0"/>
                              <w:marBottom w:val="240"/>
                              <w:divBdr>
                                <w:top w:val="none" w:sz="0" w:space="0" w:color="auto"/>
                                <w:left w:val="none" w:sz="0" w:space="0" w:color="auto"/>
                                <w:bottom w:val="single" w:sz="18" w:space="0" w:color="EAEAEA"/>
                                <w:right w:val="none" w:sz="0" w:space="0" w:color="auto"/>
                              </w:divBdr>
                            </w:div>
                            <w:div w:id="389965571">
                              <w:marLeft w:val="0"/>
                              <w:marRight w:val="0"/>
                              <w:marTop w:val="0"/>
                              <w:marBottom w:val="240"/>
                              <w:divBdr>
                                <w:top w:val="none" w:sz="0" w:space="0" w:color="auto"/>
                                <w:left w:val="none" w:sz="0" w:space="0" w:color="auto"/>
                                <w:bottom w:val="single" w:sz="18" w:space="0" w:color="EAEAEA"/>
                                <w:right w:val="none" w:sz="0" w:space="0" w:color="auto"/>
                              </w:divBdr>
                            </w:div>
                            <w:div w:id="256059802">
                              <w:marLeft w:val="0"/>
                              <w:marRight w:val="0"/>
                              <w:marTop w:val="0"/>
                              <w:marBottom w:val="240"/>
                              <w:divBdr>
                                <w:top w:val="none" w:sz="0" w:space="0" w:color="auto"/>
                                <w:left w:val="none" w:sz="0" w:space="0" w:color="auto"/>
                                <w:bottom w:val="single" w:sz="18" w:space="0" w:color="EAEAEA"/>
                                <w:right w:val="none" w:sz="0" w:space="0" w:color="auto"/>
                              </w:divBdr>
                            </w:div>
                            <w:div w:id="440030785">
                              <w:marLeft w:val="0"/>
                              <w:marRight w:val="0"/>
                              <w:marTop w:val="0"/>
                              <w:marBottom w:val="0"/>
                              <w:divBdr>
                                <w:top w:val="none" w:sz="0" w:space="0" w:color="auto"/>
                                <w:left w:val="none" w:sz="0" w:space="0" w:color="auto"/>
                                <w:bottom w:val="none" w:sz="0" w:space="0" w:color="auto"/>
                                <w:right w:val="none" w:sz="0" w:space="0" w:color="auto"/>
                              </w:divBdr>
                              <w:divsChild>
                                <w:div w:id="513766021">
                                  <w:marLeft w:val="0"/>
                                  <w:marRight w:val="0"/>
                                  <w:marTop w:val="0"/>
                                  <w:marBottom w:val="240"/>
                                  <w:divBdr>
                                    <w:top w:val="none" w:sz="0" w:space="0" w:color="auto"/>
                                    <w:left w:val="none" w:sz="0" w:space="0" w:color="auto"/>
                                    <w:bottom w:val="single" w:sz="18" w:space="0" w:color="EAEAEA"/>
                                    <w:right w:val="none" w:sz="0" w:space="0" w:color="auto"/>
                                  </w:divBdr>
                                </w:div>
                              </w:divsChild>
                            </w:div>
                            <w:div w:id="243222726">
                              <w:marLeft w:val="0"/>
                              <w:marRight w:val="0"/>
                              <w:marTop w:val="0"/>
                              <w:marBottom w:val="240"/>
                              <w:divBdr>
                                <w:top w:val="none" w:sz="0" w:space="0" w:color="auto"/>
                                <w:left w:val="none" w:sz="0" w:space="0" w:color="auto"/>
                                <w:bottom w:val="single" w:sz="18" w:space="0" w:color="EAEAEA"/>
                                <w:right w:val="none" w:sz="0" w:space="0" w:color="auto"/>
                              </w:divBdr>
                            </w:div>
                            <w:div w:id="1680280189">
                              <w:marLeft w:val="0"/>
                              <w:marRight w:val="0"/>
                              <w:marTop w:val="0"/>
                              <w:marBottom w:val="240"/>
                              <w:divBdr>
                                <w:top w:val="none" w:sz="0" w:space="0" w:color="auto"/>
                                <w:left w:val="none" w:sz="0" w:space="0" w:color="auto"/>
                                <w:bottom w:val="single" w:sz="18" w:space="0" w:color="EAEAEA"/>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olicies.tbr.edu/guidelines/personnel-transactions-recommended-form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857</Words>
  <Characters>4887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Mickey Sheen</dc:creator>
  <cp:keywords/>
  <dc:description/>
  <cp:lastModifiedBy>Mickey Sheen</cp:lastModifiedBy>
  <cp:revision>1</cp:revision>
  <dcterms:created xsi:type="dcterms:W3CDTF">2016-10-14T17:45:00Z</dcterms:created>
  <dcterms:modified xsi:type="dcterms:W3CDTF">2016-10-14T17:46:00Z</dcterms:modified>
</cp:coreProperties>
</file>