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FA" w:rsidRDefault="00F434FA" w:rsidP="00F434FA">
      <w:pPr>
        <w:pStyle w:val="Heading1"/>
        <w:keepNext w:val="0"/>
        <w:numPr>
          <w:ilvl w:val="0"/>
          <w:numId w:val="0"/>
        </w:numPr>
        <w:jc w:val="center"/>
      </w:pPr>
      <w:r>
        <w:t>Guidelines for Developing Reflection</w:t>
      </w:r>
    </w:p>
    <w:p w:rsidR="00F434FA" w:rsidRDefault="00F434FA" w:rsidP="00F434FA"/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Critical reflection assignments and outcomes should be tied to the goals of </w:t>
      </w:r>
      <w:proofErr w:type="gramStart"/>
      <w:r>
        <w:rPr>
          <w:b w:val="0"/>
          <w:bCs w:val="0"/>
          <w:i w:val="0"/>
          <w:iCs w:val="0"/>
        </w:rPr>
        <w:t>service-learning</w:t>
      </w:r>
      <w:proofErr w:type="gramEnd"/>
      <w:r>
        <w:rPr>
          <w:b w:val="0"/>
          <w:bCs w:val="0"/>
          <w:i w:val="0"/>
          <w:iCs w:val="0"/>
        </w:rPr>
        <w:t xml:space="preserve"> as specified in the course syllabus.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Effective reflection activities are GUIDED and ALLOW feedback and assessment.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Consider the goals of incorporating </w:t>
      </w:r>
      <w:proofErr w:type="gramStart"/>
      <w:r>
        <w:rPr>
          <w:b w:val="0"/>
          <w:bCs w:val="0"/>
          <w:i w:val="0"/>
          <w:iCs w:val="0"/>
        </w:rPr>
        <w:t>service-learning</w:t>
      </w:r>
      <w:proofErr w:type="gramEnd"/>
      <w:r>
        <w:rPr>
          <w:b w:val="0"/>
          <w:bCs w:val="0"/>
          <w:i w:val="0"/>
          <w:iCs w:val="0"/>
        </w:rPr>
        <w:t xml:space="preserve"> into the course and use reflection activities to meet those goals.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Consider the structure of the class.  How does it lend itself to particular reflection activities?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Create and publicize expectations.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Consider your skills as an instructor when choosing reflecting activities.  What sorts of activities are you competent to evaluate and facilitate?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Consider learning styles.  A variety of reflection activities, rather than a single type, take into account that different students learn differently.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Keep it simple.  Don’t take on more than you can do thoughtfully.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Think about evaluation and assessment of the reflection methods.  Consider soliciting student feedback on what is working well and what needs to be improved.</w:t>
      </w:r>
    </w:p>
    <w:p w:rsidR="00F434FA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Think about evaluation and assessment of students’ critical reflection efforts.  What constitutes an A, B, C? </w:t>
      </w:r>
    </w:p>
    <w:p w:rsidR="006B4B81" w:rsidRDefault="00F434FA" w:rsidP="00F434FA">
      <w:pPr>
        <w:pStyle w:val="Heading2"/>
        <w:keepNext w:val="0"/>
        <w:numPr>
          <w:ilvl w:val="0"/>
          <w:numId w:val="2"/>
        </w:numPr>
        <w:tabs>
          <w:tab w:val="clear" w:pos="2160"/>
        </w:tabs>
        <w:spacing w:after="480"/>
        <w:ind w:left="720" w:right="576"/>
      </w:pPr>
      <w:r w:rsidRPr="008F3162">
        <w:t>Remember the 4Cs: Continuous, Connected, Challenging, Contextualized</w:t>
      </w:r>
    </w:p>
    <w:sectPr w:rsidR="006B4B81" w:rsidSect="00F434FA">
      <w:footerReference w:type="default" r:id="rId5"/>
      <w:pgSz w:w="12240" w:h="15840"/>
      <w:pgMar w:top="1008" w:right="1152" w:bottom="1008" w:left="1152" w:gutter="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EE" w:rsidRDefault="00F434FA">
    <w:pPr>
      <w:pStyle w:val="Footer"/>
      <w:rPr>
        <w:sz w:val="20"/>
      </w:rPr>
    </w:pPr>
    <w:r>
      <w:rPr>
        <w:sz w:val="20"/>
      </w:rPr>
      <w:tab/>
    </w:r>
    <w:proofErr w:type="gramStart"/>
    <w:r>
      <w:rPr>
        <w:sz w:val="20"/>
      </w:rPr>
      <w:t>page</w:t>
    </w:r>
    <w:proofErr w:type="gramEnd"/>
    <w:r>
      <w:rPr>
        <w:sz w:val="20"/>
      </w:rPr>
      <w:t xml:space="preserve">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D58B2"/>
    <w:multiLevelType w:val="hybridMultilevel"/>
    <w:tmpl w:val="BF5A63A4"/>
    <w:lvl w:ilvl="0" w:tplc="A94A1E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73567C5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434FA"/>
    <w:rsid w:val="00F434FA"/>
  </w:rsids>
  <m:mathPr>
    <m:mathFont m:val="AntiqueOlive-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FA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4FA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434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34FA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34F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434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434FA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34FA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F434FA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F434FA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434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434F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434F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434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434FA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434F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434F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434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434FA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rsid w:val="00F434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34FA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F434FA"/>
  </w:style>
  <w:style w:type="paragraph" w:styleId="Header">
    <w:name w:val="header"/>
    <w:basedOn w:val="Normal"/>
    <w:link w:val="HeaderChar"/>
    <w:uiPriority w:val="99"/>
    <w:semiHidden/>
    <w:unhideWhenUsed/>
    <w:rsid w:val="00F434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4F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TSU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Fuller</dc:creator>
  <cp:keywords/>
  <cp:lastModifiedBy>Sue Fuller</cp:lastModifiedBy>
  <cp:revision>1</cp:revision>
  <dcterms:created xsi:type="dcterms:W3CDTF">2010-06-05T17:00:00Z</dcterms:created>
  <dcterms:modified xsi:type="dcterms:W3CDTF">2010-06-05T17:03:00Z</dcterms:modified>
</cp:coreProperties>
</file>