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40" w:rsidRPr="00235740" w:rsidRDefault="00235740" w:rsidP="00235740">
      <w:pPr>
        <w:shd w:val="clear" w:color="auto" w:fill="FFFFFF"/>
        <w:spacing w:after="150" w:line="600" w:lineRule="atLeast"/>
        <w:outlineLvl w:val="0"/>
        <w:rPr>
          <w:rFonts w:ascii="inherit" w:eastAsia="Times New Roman" w:hAnsi="inherit" w:cs="Arial"/>
          <w:b/>
          <w:bCs/>
          <w:color w:val="344051"/>
          <w:kern w:val="36"/>
          <w:sz w:val="45"/>
          <w:szCs w:val="45"/>
        </w:rPr>
      </w:pPr>
      <w:r w:rsidRPr="00235740">
        <w:rPr>
          <w:rFonts w:ascii="inherit" w:eastAsia="Times New Roman" w:hAnsi="inherit" w:cs="Arial"/>
          <w:b/>
          <w:bCs/>
          <w:color w:val="344051"/>
          <w:kern w:val="36"/>
          <w:sz w:val="45"/>
          <w:szCs w:val="45"/>
        </w:rPr>
        <w:t>Allocation of Maintenance Fees for University Athletics: B-042</w:t>
      </w:r>
    </w:p>
    <w:p w:rsidR="00235740" w:rsidRPr="00235740" w:rsidRDefault="00235740" w:rsidP="00235740">
      <w:pPr>
        <w:pBdr>
          <w:bottom w:val="single" w:sz="6" w:space="0" w:color="EAEAEA"/>
        </w:pBdr>
        <w:shd w:val="clear" w:color="auto" w:fill="FFFFFF"/>
        <w:spacing w:line="240" w:lineRule="auto"/>
        <w:outlineLvl w:val="1"/>
        <w:rPr>
          <w:rFonts w:ascii="inherit" w:eastAsia="Times New Roman" w:hAnsi="inherit" w:cs="Arial"/>
          <w:b/>
          <w:bCs/>
          <w:color w:val="344051"/>
          <w:sz w:val="29"/>
          <w:szCs w:val="29"/>
        </w:rPr>
      </w:pPr>
      <w:bookmarkStart w:id="0" w:name="_GoBack"/>
      <w:bookmarkEnd w:id="0"/>
      <w:r w:rsidRPr="00235740">
        <w:rPr>
          <w:rFonts w:ascii="inherit" w:eastAsia="Times New Roman" w:hAnsi="inherit" w:cs="Arial"/>
          <w:b/>
          <w:bCs/>
          <w:color w:val="344051"/>
          <w:sz w:val="29"/>
          <w:szCs w:val="29"/>
        </w:rPr>
        <w:t>Guideline Area</w:t>
      </w:r>
    </w:p>
    <w:p w:rsidR="00235740" w:rsidRPr="00235740" w:rsidRDefault="00235740" w:rsidP="00235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4051"/>
          <w:sz w:val="24"/>
          <w:szCs w:val="24"/>
        </w:rPr>
      </w:pPr>
      <w:r w:rsidRPr="00235740">
        <w:rPr>
          <w:rFonts w:ascii="Arial" w:eastAsia="Times New Roman" w:hAnsi="Arial" w:cs="Arial"/>
          <w:color w:val="344051"/>
          <w:sz w:val="24"/>
          <w:szCs w:val="24"/>
        </w:rPr>
        <w:t>Business and Finance Guidelines</w:t>
      </w:r>
    </w:p>
    <w:p w:rsidR="00235740" w:rsidRPr="00235740" w:rsidRDefault="00235740" w:rsidP="00235740">
      <w:pPr>
        <w:pBdr>
          <w:bottom w:val="single" w:sz="6" w:space="0" w:color="EAEAEA"/>
        </w:pBdr>
        <w:shd w:val="clear" w:color="auto" w:fill="FFFFFF"/>
        <w:spacing w:line="240" w:lineRule="auto"/>
        <w:outlineLvl w:val="1"/>
        <w:rPr>
          <w:rFonts w:ascii="inherit" w:eastAsia="Times New Roman" w:hAnsi="inherit" w:cs="Arial"/>
          <w:b/>
          <w:bCs/>
          <w:color w:val="344051"/>
          <w:sz w:val="29"/>
          <w:szCs w:val="29"/>
        </w:rPr>
      </w:pPr>
      <w:r w:rsidRPr="00235740">
        <w:rPr>
          <w:rFonts w:ascii="inherit" w:eastAsia="Times New Roman" w:hAnsi="inherit" w:cs="Arial"/>
          <w:b/>
          <w:bCs/>
          <w:color w:val="344051"/>
          <w:sz w:val="29"/>
          <w:szCs w:val="29"/>
        </w:rPr>
        <w:t>Applicable Divisions</w:t>
      </w:r>
    </w:p>
    <w:p w:rsidR="00235740" w:rsidRPr="00235740" w:rsidRDefault="00235740" w:rsidP="002357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44051"/>
          <w:sz w:val="24"/>
          <w:szCs w:val="24"/>
        </w:rPr>
      </w:pPr>
      <w:r w:rsidRPr="00235740">
        <w:rPr>
          <w:rFonts w:ascii="Arial" w:eastAsia="Times New Roman" w:hAnsi="Arial" w:cs="Arial"/>
          <w:color w:val="344051"/>
          <w:sz w:val="24"/>
          <w:szCs w:val="24"/>
        </w:rPr>
        <w:t>Universities</w:t>
      </w:r>
    </w:p>
    <w:p w:rsidR="00235740" w:rsidRPr="00235740" w:rsidRDefault="00235740" w:rsidP="00235740">
      <w:pPr>
        <w:pBdr>
          <w:bottom w:val="single" w:sz="6" w:space="0" w:color="EAEAEA"/>
        </w:pBdr>
        <w:shd w:val="clear" w:color="auto" w:fill="FFFFFF"/>
        <w:spacing w:line="240" w:lineRule="auto"/>
        <w:outlineLvl w:val="1"/>
        <w:rPr>
          <w:rFonts w:ascii="inherit" w:eastAsia="Times New Roman" w:hAnsi="inherit" w:cs="Arial"/>
          <w:b/>
          <w:bCs/>
          <w:color w:val="344051"/>
          <w:sz w:val="29"/>
          <w:szCs w:val="29"/>
        </w:rPr>
      </w:pPr>
      <w:bookmarkStart w:id="1" w:name="purpose"/>
      <w:bookmarkEnd w:id="1"/>
      <w:r w:rsidRPr="00235740">
        <w:rPr>
          <w:rFonts w:ascii="inherit" w:eastAsia="Times New Roman" w:hAnsi="inherit" w:cs="Arial"/>
          <w:b/>
          <w:bCs/>
          <w:color w:val="344051"/>
          <w:sz w:val="29"/>
          <w:szCs w:val="29"/>
        </w:rPr>
        <w:t>Purpose</w:t>
      </w:r>
    </w:p>
    <w:p w:rsidR="00235740" w:rsidRPr="00235740" w:rsidRDefault="00235740" w:rsidP="002357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44051"/>
          <w:sz w:val="24"/>
          <w:szCs w:val="24"/>
        </w:rPr>
      </w:pPr>
      <w:r w:rsidRPr="00235740">
        <w:rPr>
          <w:rFonts w:ascii="Arial" w:eastAsia="Times New Roman" w:hAnsi="Arial" w:cs="Arial"/>
          <w:color w:val="344051"/>
          <w:sz w:val="24"/>
          <w:szCs w:val="24"/>
        </w:rPr>
        <w:t>The purpose of this guideline is to establish the process and procedures for the allocation of maintenance fees for university athletics at institutions governed by the Tennessee Board of Regents.</w:t>
      </w:r>
    </w:p>
    <w:p w:rsidR="00235740" w:rsidRPr="00235740" w:rsidRDefault="00235740" w:rsidP="00235740">
      <w:pPr>
        <w:pBdr>
          <w:bottom w:val="single" w:sz="6" w:space="0" w:color="EAEAEA"/>
        </w:pBdr>
        <w:shd w:val="clear" w:color="auto" w:fill="FFFFFF"/>
        <w:spacing w:line="240" w:lineRule="auto"/>
        <w:outlineLvl w:val="1"/>
        <w:rPr>
          <w:rFonts w:ascii="inherit" w:eastAsia="Times New Roman" w:hAnsi="inherit" w:cs="Arial"/>
          <w:b/>
          <w:bCs/>
          <w:color w:val="344051"/>
          <w:sz w:val="29"/>
          <w:szCs w:val="29"/>
        </w:rPr>
      </w:pPr>
      <w:bookmarkStart w:id="2" w:name="definitions"/>
      <w:bookmarkEnd w:id="2"/>
      <w:r w:rsidRPr="00235740">
        <w:rPr>
          <w:rFonts w:ascii="inherit" w:eastAsia="Times New Roman" w:hAnsi="inherit" w:cs="Arial"/>
          <w:b/>
          <w:bCs/>
          <w:color w:val="344051"/>
          <w:sz w:val="29"/>
          <w:szCs w:val="29"/>
        </w:rPr>
        <w:t>Guideline</w:t>
      </w:r>
    </w:p>
    <w:p w:rsidR="00235740" w:rsidRPr="00235740" w:rsidRDefault="00235740" w:rsidP="002357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Arial" w:eastAsia="Times New Roman" w:hAnsi="Arial" w:cs="Arial"/>
          <w:color w:val="344051"/>
          <w:sz w:val="24"/>
          <w:szCs w:val="24"/>
        </w:rPr>
      </w:pPr>
      <w:bookmarkStart w:id="3" w:name="General-Statement"/>
      <w:r w:rsidRPr="00235740">
        <w:rPr>
          <w:rFonts w:ascii="Arial" w:eastAsia="Times New Roman" w:hAnsi="Arial" w:cs="Arial"/>
          <w:color w:val="787F8A"/>
          <w:sz w:val="24"/>
          <w:szCs w:val="24"/>
        </w:rPr>
        <w:t>General Statement</w:t>
      </w:r>
      <w:bookmarkEnd w:id="3"/>
    </w:p>
    <w:p w:rsidR="00235740" w:rsidRPr="00235740" w:rsidRDefault="00235740" w:rsidP="0023574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50" w:lineRule="atLeast"/>
        <w:ind w:left="750"/>
        <w:rPr>
          <w:rFonts w:ascii="Arial" w:eastAsia="Times New Roman" w:hAnsi="Arial" w:cs="Arial"/>
          <w:color w:val="344051"/>
          <w:sz w:val="24"/>
          <w:szCs w:val="24"/>
        </w:rPr>
      </w:pPr>
      <w:r w:rsidRPr="00235740">
        <w:rPr>
          <w:rFonts w:ascii="Arial" w:eastAsia="Times New Roman" w:hAnsi="Arial" w:cs="Arial"/>
          <w:color w:val="344051"/>
          <w:sz w:val="24"/>
          <w:szCs w:val="24"/>
        </w:rPr>
        <w:t>Intercollegiate athletics is a major university activity that is supported by various sources which include student maintenance fees.</w:t>
      </w:r>
    </w:p>
    <w:p w:rsidR="00235740" w:rsidRPr="00235740" w:rsidRDefault="00235740" w:rsidP="0023574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50" w:lineRule="atLeast"/>
        <w:ind w:left="750"/>
        <w:rPr>
          <w:rFonts w:ascii="Arial" w:eastAsia="Times New Roman" w:hAnsi="Arial" w:cs="Arial"/>
          <w:color w:val="344051"/>
          <w:sz w:val="24"/>
          <w:szCs w:val="24"/>
        </w:rPr>
      </w:pPr>
      <w:r w:rsidRPr="00235740">
        <w:rPr>
          <w:rFonts w:ascii="Arial" w:eastAsia="Times New Roman" w:hAnsi="Arial" w:cs="Arial"/>
          <w:color w:val="344051"/>
          <w:sz w:val="24"/>
          <w:szCs w:val="24"/>
        </w:rPr>
        <w:t>The following represents the methodology as well as guidelines for the allocation of maintenance fees for Athletics at Tennessee Board of Regents universities.</w:t>
      </w:r>
    </w:p>
    <w:p w:rsidR="00235740" w:rsidRPr="00235740" w:rsidRDefault="00235740" w:rsidP="002357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Arial" w:eastAsia="Times New Roman" w:hAnsi="Arial" w:cs="Arial"/>
          <w:color w:val="344051"/>
          <w:sz w:val="24"/>
          <w:szCs w:val="24"/>
        </w:rPr>
      </w:pPr>
      <w:bookmarkStart w:id="4" w:name="Allocation-of-Maintenance-Fees"/>
      <w:r w:rsidRPr="00235740">
        <w:rPr>
          <w:rFonts w:ascii="Arial" w:eastAsia="Times New Roman" w:hAnsi="Arial" w:cs="Arial"/>
          <w:color w:val="787F8A"/>
          <w:sz w:val="24"/>
          <w:szCs w:val="24"/>
        </w:rPr>
        <w:t>Allocation of Maintenance Fees</w:t>
      </w:r>
      <w:bookmarkEnd w:id="4"/>
    </w:p>
    <w:p w:rsidR="00235740" w:rsidRPr="00235740" w:rsidRDefault="00235740" w:rsidP="0023574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50" w:lineRule="atLeast"/>
        <w:ind w:left="750"/>
        <w:rPr>
          <w:rFonts w:ascii="Arial" w:eastAsia="Times New Roman" w:hAnsi="Arial" w:cs="Arial"/>
          <w:color w:val="344051"/>
          <w:sz w:val="24"/>
          <w:szCs w:val="24"/>
        </w:rPr>
      </w:pPr>
      <w:r w:rsidRPr="00235740">
        <w:rPr>
          <w:rFonts w:ascii="Arial" w:eastAsia="Times New Roman" w:hAnsi="Arial" w:cs="Arial"/>
          <w:color w:val="344051"/>
          <w:sz w:val="24"/>
          <w:szCs w:val="24"/>
        </w:rPr>
        <w:t>This initial limit will be reviewed annually by Board staff and may be adjusted based on such factors as student fee increases, inflation, and mandated salary and employee benefit increases.</w:t>
      </w:r>
    </w:p>
    <w:p w:rsidR="00235740" w:rsidRPr="00235740" w:rsidRDefault="00235740" w:rsidP="00235740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450" w:lineRule="atLeast"/>
        <w:ind w:left="1125"/>
        <w:rPr>
          <w:rFonts w:ascii="Arial" w:eastAsia="Times New Roman" w:hAnsi="Arial" w:cs="Arial"/>
          <w:color w:val="344051"/>
          <w:sz w:val="24"/>
          <w:szCs w:val="24"/>
        </w:rPr>
      </w:pPr>
      <w:r w:rsidRPr="00235740">
        <w:rPr>
          <w:rFonts w:ascii="Arial" w:eastAsia="Times New Roman" w:hAnsi="Arial" w:cs="Arial"/>
          <w:color w:val="344051"/>
          <w:sz w:val="24"/>
          <w:szCs w:val="24"/>
        </w:rPr>
        <w:t>Each university must evaluate the amount of maintenance fee revenues available for Athletics, subject to the limits established by this guideline, relative to other campus priorities.</w:t>
      </w:r>
    </w:p>
    <w:p w:rsidR="00235740" w:rsidRPr="00235740" w:rsidRDefault="00235740" w:rsidP="002357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Arial" w:eastAsia="Times New Roman" w:hAnsi="Arial" w:cs="Arial"/>
          <w:color w:val="344051"/>
          <w:sz w:val="24"/>
          <w:szCs w:val="24"/>
        </w:rPr>
      </w:pPr>
      <w:bookmarkStart w:id="5" w:name="State-Appropriations"/>
      <w:r w:rsidRPr="00235740">
        <w:rPr>
          <w:rFonts w:ascii="Arial" w:eastAsia="Times New Roman" w:hAnsi="Arial" w:cs="Arial"/>
          <w:color w:val="787F8A"/>
          <w:sz w:val="24"/>
          <w:szCs w:val="24"/>
        </w:rPr>
        <w:t>State Appropriations</w:t>
      </w:r>
      <w:bookmarkEnd w:id="5"/>
    </w:p>
    <w:p w:rsidR="00235740" w:rsidRPr="00235740" w:rsidRDefault="00235740" w:rsidP="0023574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50" w:lineRule="atLeast"/>
        <w:ind w:left="750"/>
        <w:rPr>
          <w:rFonts w:ascii="Arial" w:eastAsia="Times New Roman" w:hAnsi="Arial" w:cs="Arial"/>
          <w:color w:val="344051"/>
          <w:sz w:val="24"/>
          <w:szCs w:val="24"/>
        </w:rPr>
      </w:pPr>
      <w:r w:rsidRPr="00235740">
        <w:rPr>
          <w:rFonts w:ascii="Arial" w:eastAsia="Times New Roman" w:hAnsi="Arial" w:cs="Arial"/>
          <w:color w:val="344051"/>
          <w:sz w:val="24"/>
          <w:szCs w:val="24"/>
        </w:rPr>
        <w:t>No state appropriated funds from General State of Tennessee Revenue may be used for Athletics.</w:t>
      </w:r>
    </w:p>
    <w:p w:rsidR="00235740" w:rsidRPr="00235740" w:rsidRDefault="00235740" w:rsidP="0023574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375"/>
        <w:rPr>
          <w:rFonts w:ascii="Arial" w:eastAsia="Times New Roman" w:hAnsi="Arial" w:cs="Arial"/>
          <w:color w:val="344051"/>
          <w:sz w:val="24"/>
          <w:szCs w:val="24"/>
        </w:rPr>
      </w:pPr>
      <w:bookmarkStart w:id="6" w:name="Exceptions"/>
      <w:r w:rsidRPr="00235740">
        <w:rPr>
          <w:rFonts w:ascii="Arial" w:eastAsia="Times New Roman" w:hAnsi="Arial" w:cs="Arial"/>
          <w:color w:val="787F8A"/>
          <w:sz w:val="24"/>
          <w:szCs w:val="24"/>
        </w:rPr>
        <w:t>Exceptions</w:t>
      </w:r>
      <w:bookmarkEnd w:id="6"/>
    </w:p>
    <w:p w:rsidR="00235740" w:rsidRPr="00235740" w:rsidRDefault="00235740" w:rsidP="00235740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450" w:lineRule="atLeast"/>
        <w:ind w:left="750"/>
        <w:rPr>
          <w:rFonts w:ascii="Arial" w:eastAsia="Times New Roman" w:hAnsi="Arial" w:cs="Arial"/>
          <w:color w:val="344051"/>
          <w:sz w:val="24"/>
          <w:szCs w:val="24"/>
        </w:rPr>
      </w:pPr>
      <w:r w:rsidRPr="00235740">
        <w:rPr>
          <w:rFonts w:ascii="Arial" w:eastAsia="Times New Roman" w:hAnsi="Arial" w:cs="Arial"/>
          <w:color w:val="344051"/>
          <w:sz w:val="24"/>
          <w:szCs w:val="24"/>
        </w:rPr>
        <w:t>Exceptions to the guideline must be approved by the Chancellor. </w:t>
      </w:r>
    </w:p>
    <w:p w:rsidR="00235740" w:rsidRPr="00235740" w:rsidRDefault="00235740" w:rsidP="00235740">
      <w:pPr>
        <w:pBdr>
          <w:bottom w:val="single" w:sz="6" w:space="0" w:color="EAEAEA"/>
        </w:pBdr>
        <w:shd w:val="clear" w:color="auto" w:fill="FFFFFF"/>
        <w:spacing w:line="240" w:lineRule="auto"/>
        <w:outlineLvl w:val="1"/>
        <w:rPr>
          <w:rFonts w:ascii="inherit" w:eastAsia="Times New Roman" w:hAnsi="inherit" w:cs="Arial"/>
          <w:b/>
          <w:bCs/>
          <w:color w:val="344051"/>
          <w:sz w:val="29"/>
          <w:szCs w:val="29"/>
        </w:rPr>
      </w:pPr>
      <w:bookmarkStart w:id="7" w:name="exhibits"/>
      <w:bookmarkEnd w:id="7"/>
      <w:r w:rsidRPr="00235740">
        <w:rPr>
          <w:rFonts w:ascii="inherit" w:eastAsia="Times New Roman" w:hAnsi="inherit" w:cs="Arial"/>
          <w:b/>
          <w:bCs/>
          <w:color w:val="344051"/>
          <w:sz w:val="29"/>
          <w:szCs w:val="29"/>
        </w:rPr>
        <w:lastRenderedPageBreak/>
        <w:t>Sources</w:t>
      </w:r>
    </w:p>
    <w:p w:rsidR="00235740" w:rsidRPr="00235740" w:rsidRDefault="00235740" w:rsidP="0023574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44051"/>
          <w:sz w:val="24"/>
          <w:szCs w:val="24"/>
        </w:rPr>
      </w:pPr>
      <w:r w:rsidRPr="00235740">
        <w:rPr>
          <w:rFonts w:ascii="Arial" w:eastAsia="Times New Roman" w:hAnsi="Arial" w:cs="Arial"/>
          <w:color w:val="344051"/>
          <w:sz w:val="24"/>
          <w:szCs w:val="24"/>
        </w:rPr>
        <w:t>May 20, 2003 presidents meeting.</w:t>
      </w:r>
    </w:p>
    <w:p w:rsidR="002A7DE3" w:rsidRDefault="002A7DE3"/>
    <w:sectPr w:rsidR="002A7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8CD"/>
    <w:multiLevelType w:val="multilevel"/>
    <w:tmpl w:val="7B08827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013D0"/>
    <w:multiLevelType w:val="multilevel"/>
    <w:tmpl w:val="983C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96EAB"/>
    <w:multiLevelType w:val="multilevel"/>
    <w:tmpl w:val="B732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56D9B"/>
    <w:multiLevelType w:val="multilevel"/>
    <w:tmpl w:val="648A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40"/>
    <w:rsid w:val="00235740"/>
    <w:rsid w:val="002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4955B-62E6-4880-9309-FC2322B2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1146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EAEAEA"/>
                                    <w:right w:val="none" w:sz="0" w:space="0" w:color="auto"/>
                                  </w:divBdr>
                                </w:div>
                                <w:div w:id="67981366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4325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0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61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404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85990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45300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AEAEA"/>
                                <w:right w:val="none" w:sz="0" w:space="0" w:color="auto"/>
                              </w:divBdr>
                            </w:div>
                            <w:div w:id="207816397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AEAEA"/>
                                <w:right w:val="none" w:sz="0" w:space="0" w:color="auto"/>
                              </w:divBdr>
                            </w:div>
                            <w:div w:id="47298909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AEAEA"/>
                                <w:right w:val="none" w:sz="0" w:space="0" w:color="auto"/>
                              </w:divBdr>
                            </w:div>
                            <w:div w:id="48944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831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8" w:space="0" w:color="EAEAE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71349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AEAE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Sheen</dc:creator>
  <cp:keywords/>
  <dc:description/>
  <cp:lastModifiedBy>Mickey Sheen</cp:lastModifiedBy>
  <cp:revision>1</cp:revision>
  <dcterms:created xsi:type="dcterms:W3CDTF">2016-10-18T13:35:00Z</dcterms:created>
  <dcterms:modified xsi:type="dcterms:W3CDTF">2016-10-18T13:36:00Z</dcterms:modified>
</cp:coreProperties>
</file>